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A/3149/2023 vom 26. Juni 2024</w:t>
      </w:r>
    </w:p>
    <w:p>
      <w:r>
        <w:t>GE Cour de justice, 2024-06-26, FR</w:t>
      </w:r>
    </w:p>
    <w:p>
      <w:r>
        <w:rPr>
          <w:b/>
        </w:rPr>
        <w:t xml:space="preserve">Quelle: </w:t>
      </w:r>
      <w:r>
        <w:t>https://mcp.opencaselaw.ch/entscheid/ge_gerichte_A_3149_2023</w:t>
      </w:r>
    </w:p>
    <w:p>
      <w:r>
        <w:t>FR: GE_GERICHTE A/3149/2023 du 26 juin 2024</w:t>
      </w:r>
    </w:p>
    <w:p>
      <w:r>
        <w:t>IT: GE_GERICHTE A/3149/2023 del 26 giugno 2024</w:t>
      </w:r>
    </w:p>
    <w:p>
      <w:pPr>
        <w:pStyle w:val="Heading2"/>
      </w:pPr>
      <w:r>
        <w:t>Regeste</w:t>
      </w:r>
    </w:p>
    <w:p>
      <w:r>
        <w:t>QUALITÉ POUR AGIR ET RECOURIR;LOCATAIRE | LPA.60.al1.letb</w:t>
      </w:r>
    </w:p>
    <w:p>
      <w:pPr>
        <w:pStyle w:val="Heading2"/>
      </w:pPr>
      <w:r>
        <w:t>Erwägungen</w:t>
      </w:r>
    </w:p>
    <w:p>
      <w:r>
        <w:rPr>
          <w:b/>
        </w:rPr>
        <w:t>E. 2</w:t>
      </w:r>
    </w:p>
    <w:p>
      <w:r>
        <w:t>-, n’avait pas la qualité pour recourir puisque les droits des locataires étaient, de jurisprudence constante, protégés par le droit privé du bail et non par le droit public des constructions. La recourante faisait d’ailleurs valoir des prétentions devant la CCBL. À l’inverse, elle n’avait aucun intérêt digne de protection, et encore moins un intérêt concret de droit public, à s’opposer à la délivrance de l’autorisation de construire querellée. Concrètement, la recourante était locataire de locaux commerciaux, de sorte que la protection découlant de la loi sur les démolitions, transformations et rénovations de maisons d’habitation (mesures de soutien en faveur des locataires et de l’emploi) du 25 janvier 1996 (LDTR- L 5 20) ne s’appliquait pas. Son contrat de bail avait été résilié, même si elle contestait ce congé. Au demeurant, la recourante avait saisi la CCBL d’une requête en contestation de congé. Sa protection juridique était donc garantie par les juridictions civiles. De plus, elle faisait valoir l’intérêt patrimonial de la façade côté E______ alors qu’elle occupait des locaux côté F______ et que l’entrée du fitness se trouvait uniquement sur cette rue. Elle avait pour but d’exploiter des fitness - son groupe en comptait plus de 90 dans le monde - et non pas de protéger le patrimoine. Elle n’était donc nullement concernée par la façade d’un côté opposé à celui qu’elle occupait. La recourante critiquait également le préavis « non motivé » de la CA s’agissant de la dérogation pour le dépassement du gabarit, mais n’expliquait pas en quoi cela la concernait. Elle formulait une critique liée au rapport de hauteur entre la cour et la façade de l’immeuble, sans expliquer en quoi elle serait concernée par la cour et/ou la façade de l’immeuble. Elle ne disposait d’aucun intérêt digne de protection pour ces griefs. Enfin, la recourante faisait valoir une violation de l’art. 14 LCI liée aux inconvénients grave, mais cette disposition ne visait pas à protéger l’activité économique en général, et encore moins à empêcher des travaux. La motivation de ce grief était fort faible, de sorte que la recourante ne faisait pas valoir un intérêt digne de protection. Au surplus, ses griefs étaient infondés. 11.         Par réplique du 22 janvier 2024, A______ a persisté dans les termes de son recours. S’agissant de sa qualité pour recourir, elle a renvoyé le tribunal au jugement JTAPI/391/2023 du 6 avril 2023 aux termes duquel il avait déclaré recevable le recours d’un locataire d’un immeuble concerné par des travaux autorisés et se prévalant de violations de dispositions légales en lien avec le droit de la construction susceptibles d’avoir une incidence concrète sur sa situation de fait, comme l’art. 14 LCI. Son contrat de bail - dont elle était est titulaire depuis 1999 et dont la prochaine échéance était le 31 janvier 2039 - faisait actuellement l’objet d’une procédure judiciaire visant l’annulation du congé notifié de façon abusive par l’intimée le 20 janvier 2021, soit pour un retard de quelques jours dans le paiement d’un seul mois de loyer, en pleine pandémie de COVID-19, alors que les parties étaient en pourparlers au sujet des loyers et que les autorités avaient ordonné la fermeture de tous les fitness. À l’heure actuelle, la procédure était au stade de la conciliation. Tant que cette procédure judiciaire était en cours, son contrat de bail continuait à déployer tous ses effets. Elle poursuivait l’exploitation de son fitness et s’acquittait du loyer correspondant à satisfaction de l’intimée. La réalisation du projet impliquait la suppression totale de la surface destinée à l’exploitation de son fitness, qui était vouée à être totalement remaniée. Elle perdrait ainsi la jouissance des locaux qu’elle occupait depuis plus de 20 ans. Il était ainsi évident que bien qu’elle exploitait une relativement « petite » surface par rapport à l’ensemble des surfaces et locaux concernés par le projet, elle était touchée plus que quiconque par l’octroi de l’autorisation de construire litigieuse dès lors qu’elle se trouvait lésée de façon directe et spéciale par le projet. Son recours ne pouvait donc en aucun cas être assimilé à une action populaire. La recourante s’est encore prononcée sur la violation de l’art. 14 LCI et a, dans ce cadre, sollicité un transport sur place. 12.         Par duplique du 7 février 2024, le département a indiqué que les arguments avancés par la recourante pour tenter d’expliquer que la recevabilité de son recours n’était pas douteuse peinaient à convaincre. On ne voyait pas en quoi la disparition des surfaces qu’elle louait, la privation de la jouissance de celles-ci ou la perte de clientèle concerneraient le droit de la construction. Au contraire, cela démontrait que la recourante ne soulevait aucune violation des prescriptions en matière de construction à l’encontre de la décision litigieuse. S’agissant de la prétendue violation de l’art. 14 LCI, la recourante se prévalait des inconvénients liés aux travaux alors que la disposition précitée ne couvrait pas cet aspect. De surcroît, lorsqu’elle se plaignait desdits inconvénients sur l’accès à ses locaux, elle n’expliquait pas en quoi le projet violerait les prescriptions du droit de la construction. Ainsi, ce grief demeurait irrecevable et ce d’autant plus qu’il portait manifestement sur les obligations contractuelles afférentes au droit du bail. Partant, la mesure d’instruction sollicitée n’apparaissait ni pertinente ni utile à la solution du litige. 13.         Par duplique du 13 février 2024, l’intimée a persisté dans les conclusions de sa réponse du 4 décembre 2023. La jurisprudence citée par la recourante concernait un cas où les baux des locataires n’avaient pas été résiliés, contrairement au cas d’espèce. La recourante avait saisi la CCBL pour contester une résiliation fondée sur un retard de paiement. La notion d’inconvénients graves au sens de l’art. 14 LCI ne comprenait pas le droit de rester dans des locaux rénovés. Un transport sur place ne serait d’aucune utilité dans le cadre de la procédure et ne ferait que retarder le traitement du dossier. 14.         Le détail des pièces et des arguments des parties sera repris, ci-après, dans la partie « en droit », dans la mesure utile.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LPA. 3.             La recevabilité d’un recours suppose encore que son auteur dispose de la qualité pour recourir. 4.             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 5.             En matière de droit des constructions, le voisin direct de la construction ou de l’installation litigieuse a en principe la qualité pour recourir (ATF 139 II 499 consid. 2.2 ; arrêt du Tribunal fédéral 1C_164/2019 du 20 janvier 2021 consid. 1). Outre les propriétaires voisins, les propriétaires par étage, les superficiaires, les locataires et les preneurs à ferme sont également susceptibles de bénéficier de cette qualité (arrêt du Tribunal fédéral 1C_390/2021 du 3 septembre 2022 consid. 1.1 ; ATA/ 1075/2020 du 27 octobre 2020 consid. 2d).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6.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 fond de l’affaire (Pierre MOOR/Étienne POLTIER, Droit administratif, Vol. II, 3 ème éd., 2011, p. 730). Selon la jurisprudence constante de la chambre administrative de la Cour de justice (ci-après : la chambre administrative ; cf. ATA/950/2022 du 20 septembre 2022 consid. 2e et les références citées), 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En revanche, la qualité pour recourir contre une autorisation de construire des locataires dont les baux n’avaient pas été résiliés a été admise lorsque elle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De même, se sont vu reconnaître la qualité pour recourir les locataires d’immeubles d’habitation soumis à la LDTR ou dans les causes où l’application même de la LDTR était litigieuse.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7.             En l’occurrence, force est pour le tribunal de constater que la recourante ne dispose pas de la qualité pour recourir à l’encontre de l’autorisation de construire litigieuse dans la mesure où son bail à loyer a été résilié avant même le dépôt - et donc a fortiori l’octroi - de l’autorisation de construire litigieuse. Au surplus, à la lumière des circonstances du cas d’espèce, le tribunal partage et fait ainsi sienne l’analyse de l’intimée, effectuée dans le cadre de ses observations du 4 décembre 2023, quant à l’absence d’un intérêt digne de protection de la recourante en lien avec les griefs qu’elle a invoqués. Il sied encore de relever que le jugement du tribunal de céans cité par la recourante ne lui est d’aucune utilité puisque la cause en question concernait un cas où le contrat de bail n’avait pas été résilié, mais faisait l’objet d’une procédure arbitrale visant à sa requalification, soit, subsidiairement, à sa prolongation. En outre, le fait que des procédures soient pendantes par devant la CCBL renforce aussi l’opinion que le litige opposant la recourante à l’intimée est essentiellement de nature civile. Par ailleurs, la recourante est titulaire d’un bail à loyer portant sur des locaux commerciaux et les travaux autorisés ne sont pas soumis à la LDTR, laquelle s’applique uniquement aux immeubles servant à l’habitat (art. 1 al. 1 LDTR). Au vu de ce qui précède, l’intérêt de la recourante à quereller la décision entreprise ne peut être considéré comme étant dans un rapport suffisamment étroit, spécial et digne d’être pris en considération avec l’objet de la contestation. En l’absence de qualité pour recourir, le recours sera dès lors déclaré irrecevable. 8.             Compte tenu de l’issue du litige, la mesure d’instruction sollicitée par la recourante, soit un transport sur place, n’a plus d’objet. 9.             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une indemnité de procédure de CHF 1’300.-, à la charge de la recourante, sera allouée à B______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