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A/3131/2004 vom 7. Mai 2007</w:t>
      </w:r>
    </w:p>
    <w:p>
      <w:r>
        <w:t>GE Cour de justice, 2007-05-07, DE</w:t>
      </w:r>
    </w:p>
    <w:p>
      <w:r>
        <w:rPr>
          <w:b/>
        </w:rPr>
        <w:t xml:space="preserve">Quelle: </w:t>
      </w:r>
      <w:r>
        <w:t>https://mcp.opencaselaw.ch/entscheid/ge_gerichte_A_3131_2004</w:t>
      </w:r>
    </w:p>
    <w:p>
      <w:r>
        <w:t>FR: GE_GERICHTE A/3131/2004 du 7 mai 2007</w:t>
      </w:r>
    </w:p>
    <w:p>
      <w:r>
        <w:t>IT: GE_GERICHTE A/3131/2004 del 7 maggio 2007</w:t>
      </w:r>
    </w:p>
    <w:p>
      <w:pPr>
        <w:pStyle w:val="Heading2"/>
      </w:pPr>
      <w:r>
        <w:t>Regeste</w:t>
      </w:r>
    </w:p>
    <w:p>
      <w:r>
        <w:t>; FRAIS DE MALADIE ; DÉDUCTION DU REVENU(DROIT FISCAL) | Critère de la date de la facture et de celle du décompte de la caisse de maladie. | LIPP-V. 4.2</w:t>
      </w:r>
    </w:p>
    <w:p>
      <w:pPr>
        <w:pStyle w:val="Heading2"/>
      </w:pPr>
      <w:r>
        <w:t>Volltext</w:t>
      </w:r>
    </w:p>
    <w:p>
      <w:r>
        <w:t>Genf Tribunal administratif de première instance en matière fiscale 07.05.2007 A/3131/2004 Genève Tribunal administratif de première instance en matière fiscale 07.05.2007 A/3131/2004 Ginevra Tribunal administratif de première instance en matière fiscale 07.05.2007 A/3131/2004</w:t>
      </w:r>
    </w:p>
    <w:p>
      <w:r>
        <w:t>; FRAIS DE MALADIE ; DÉDUCTION DU REVENU(DROIT FISCAL) | Critère de la date de la facture et de celle du décompte de la caisse de maladie. | LIPP-V. 4.2</w:t>
      </w:r>
    </w:p>
    <w:p>
      <w:r>
        <w:t>A/3131/2004 DCRI/175/2007 du 07.05.2007 ( ICC ) , PARTIELMNT ADMIS Descripteurs : ; FRAIS DE MALADIE ; DÉDUCTION DU REVENU(DROIT FISCAL) Normes : LIPP-V. 4.2 Résumé : Critère de la date de la facture et de celle du décompte de la caisse de maladie.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