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A/3129/2023 vom 28. November 2024</w:t>
      </w:r>
    </w:p>
    <w:p>
      <w:r>
        <w:t>GE Cour de justice, 2024-11-28, FR</w:t>
      </w:r>
    </w:p>
    <w:p>
      <w:r>
        <w:rPr>
          <w:b/>
        </w:rPr>
        <w:t xml:space="preserve">Quelle: </w:t>
      </w:r>
      <w:r>
        <w:t>https://mcp.opencaselaw.ch/entscheid/ge_gerichte_A_3129_2023</w:t>
      </w:r>
    </w:p>
    <w:p>
      <w:r>
        <w:t>FR: GE_GERICHTE A/3129/2023 du 28 novembre 2024</w:t>
      </w:r>
    </w:p>
    <w:p>
      <w:r>
        <w:t>IT: GE_GERICHTE A/3129/2023 del 28 novembre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les forme et délai prévus par la loi (art. 56ss LPGA), le recours est recevable.</w:t>
      </w:r>
    </w:p>
    <w:p>
      <w:r>
        <w:rPr>
          <w:b/>
        </w:rPr>
        <w:t>E. 2</w:t>
      </w:r>
    </w:p>
    <w:p>
      <w:r>
        <w:t>Le litige porte sur la responsabilité du recourant pour le dommage subi par l'intimée en raison du défaut de paiement des cotisations sociales par la société, correspondant aux cotisations impayées pour les périodes de novembre 2017 à septembre 2018 et aux frais et intérêts sur les décomptes de mai, août, septembre et octobre 2017.</w:t>
      </w:r>
    </w:p>
    <w:p>
      <w:r>
        <w:rPr>
          <w:b/>
        </w:rPr>
        <w:t>E. 3</w:t>
      </w:r>
    </w:p>
    <w:p>
      <w:r>
        <w:t>En préambule, il convient de rappeler que les tribunaux cantonaux des assurances sociales doivent appeler en cause les autres débiteurs solidaires recherchés par la caisse de compensation en réparation d’un dommage lié au non-versement de cotisations paritaires, que la procédure les concernant soit pendante ou que leur responsabilité ait fait l’objet d’une décision déjà entrée en force (SVR 2007 AVS n° 2 consid. 2.2). En matière de reprise des salaires dans une procédure à l’encontre d’un employeur, la jurisprudence retient également qu’un appel en cause des salariés concernés doit avoir lieu. Elle admet toutefois une exception à ce principe pour des raisons pratiques, notamment lorsque le domicile des intéressés est à l’étranger (arrêt du Tribunal fédéral H 144/05 du 6 septembre 2006 consid. 3.1). En l’espèce, le président de la société faillie devrait, en principe, être appelé en cause, au vu de la décision en réparation que l’intimée lui a notifiée. Cela étant, selon le registre des habitants tenu par l’office cantonal de la population et des migrations, il a quitté Genève pour le Portugal à fin octobre 2022. Par analogie avec les principes dégagés par la jurisprudence dans les cas de reprise des salaires, applicables mutatis mutandis , la chambre de céans renoncera à l’appel en cause du président, au vu de son domicile à l’étranger.</w:t>
      </w:r>
    </w:p>
    <w:p>
      <w:r>
        <w:rPr>
          <w:b/>
        </w:rPr>
        <w:t>E. 4</w:t>
      </w:r>
    </w:p>
    <w:p>
      <w:r>
        <w:t>L'art. 14 al. 1 LAVS, en corrélation avec les art. 34 et suivants du règlement sur l'assurance-vieillesse et survivants du 31 octobre 1947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w:t>
      </w:r>
    </w:p>
    <w:p>
      <w:r>
        <w:rPr>
          <w:b/>
        </w:rPr>
        <w:t>E. 5</w:t>
      </w:r>
    </w:p>
    <w:p>
      <w:r>
        <w:t>L'art. 52 LAVS régissant la responsabilité de l'employeur a été modifié le 1 er janvier 2020. En vertu de l'art. a52 LAVS dans sa teneur jusqu’au 31 décembre 2019,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modification de l’art. 52 LAVS – qui n’a porté que sur l’alinéa troisième de cette disposition – s’est inscrite dans la révision du droit de la prescription. Depuis le 1 er janvier 2020, l’art. 52 al. 3 LAVS prévoit que l’action en réparation du dommage se prescrit conformément aux dispositions de la loi fédérale du 30 mars 1911, complétant le Code civil suisse (CO, Code des obligations - RS 220) sur les actes illicites. Aux termes de l’art. 60 al. 1 CO dans sa teneur dès le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L’art. 49 du Titre final du Code civil suisse du 10 décembre 1907 (CC - RS 210) a également été modifié dans le cadre de cette révision. Il prévoit désormais à son alinéa premier que lorsque le nouveau droit prévoit des délais de prescription plus longs que l’ancien droit, le nouveau droit s’applique dès lors que la prescription n’est pas échue en vertu de l’ancien droit ( cf . également Message relatif à la modification du code des obligations [Droit de la prescription] du 29 novembre 2013 [FF 2014 254]). Ainsi, lorsque la prescription n’est pas acquise lors de l’entrée en vigueur de la nouvelle réglementation, le nouveau délai s'applique (arrêt du Tribunal fédéral 9C_463/2023 du 22 mai 2024 consid. 3.1). La prescription ayant couru sous l'ancien droit doit être décomptée de la prescription déterminée en vertu du nouveau droit (arrêt du Tribunal fédéral 9C_429/2022 du 3 novembre 2022 consid. 5.1.2).</w:t>
      </w:r>
    </w:p>
    <w:p>
      <w:r>
        <w:rPr>
          <w:b/>
        </w:rPr>
        <w:t>E. 6</w:t>
      </w:r>
    </w:p>
    <w:p>
      <w:r>
        <w:t>Le dépôt de l'état de collocation ou celui de la publication de la suspension de la liquidation de la faillite faute d'actifs sont les moments qui correspondent en règle générale à celui de la connaissance du dommage au sens de l'art. 52 al. 3 LAVS (ATF 129 V 193 consid. 2.3 ; arrêt du Tribunal fédéral 9C_246/2017 du 18 décembre 2017 consid. 4.2). La partie lésée peut toutefois, en raison de circonstances spéciales, acquérir la connaissance nécessaire avant le dépôt de l'état de collocation. Ainsi, on peut exiger d'une caisse qu'elle se fasse représenter à la première assemblée des créanciers, dès lors que son devoir de diligence lui commande de suivre l'évolution de la procédure de faillite. S'il apparaît à ce moment-là déjà qu'elle subira un dommage, le délai de prescription relatif commencera à courir (arrêt du Tribunal fédéral 9C_258/2022 du 14 novembre 2022 consid. 4.1.2).</w:t>
      </w:r>
    </w:p>
    <w:p>
      <w:r>
        <w:rPr>
          <w:b/>
        </w:rPr>
        <w:t>E. 7</w:t>
      </w:r>
    </w:p>
    <w:p>
      <w:r>
        <w:t>Si l'employeur est une personne morale, la responsabilité de l’art. 52 LAVS peut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(ATF 123 V 12 consid. 5a). Dans le cas d'une société anonyme, la notion d'organe responsable selon l'art. 52 LAVS est en principe identique à celle qui ressort de l'art. 754 al. 1 CO. Selon cette disposition,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(arrêt du Tribunal fédéral 9C_246/2017 du 18 décembre 2017 consid. 2).</w:t>
      </w:r>
    </w:p>
    <w:p>
      <w:r>
        <w:rPr>
          <w:b/>
        </w:rPr>
        <w:t>E. 8</w:t>
      </w:r>
    </w:p>
    <w:p>
      <w:r>
        <w:t>Pour que l'organe, formel ou de fait, soit tenu de réparer le dommage causé à la caisse de compensation en raison du non-paiement des cotisations sociales, les conditions de l'art. 52 al. 1 LAVS doivent être réalisées, ce qui suppose que l'organe ait violé intentionnellement ou par une négligence grave les devoirs lui incombant et qu'il existe un lien de causalité adéquate entre le manquement qui lui est imputable et le préjudice subi (ATF 132 III 523 consid. 4.6)</w:t>
      </w:r>
    </w:p>
    <w:p>
      <w:r>
        <w:rPr>
          <w:b/>
        </w:rPr>
        <w:t>E. 8.1</w:t>
      </w:r>
    </w:p>
    <w:p>
      <w:r>
        <w:t>La négligence grave mentionnée à l’art. 52 al. 1 er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w:t>
      </w:r>
    </w:p>
    <w:p>
      <w:r>
        <w:rPr>
          <w:b/>
        </w:rPr>
        <w:t>E. 8.2</w:t>
      </w:r>
    </w:p>
    <w:p>
      <w:r>
        <w:t>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(arrêt du Tribunal fédéral H 96/03 du 30 novembre 2004 consid. 7.3.1). Il en va de même lorsque, en raison de la répartition interne des fonctions administratives, il incombe en premier lieu à certains administrateurs de veiller au paiement des cotisations (arrêts du Tribunal fédéral 9C_961/2012 du 18 mars 2013 consid. 4.2, 9C_926/2009 du 27 avril 2010 consid. 4.3.3 et les références et H 40/05 du 29 novembre 2005 consid. 4). Les autres administrateurs n'en sont pas moins tenus de s'enquérir de la situation et de prendre les mesures nécessaires en cas de retard dans le paiement des cotisations (arrêt du Tribunal fédéral H 262/03 du 14 octobre 2004 consid. 4.2). Le fait que les organes n'aient pas eux-mêmes la compétence de procéder aux versements n'est pas déterminant (arrêt du Tribunal fédéral H 77/03 du 18 janvier 2005 consid. 6.4). Un organe ne saurait se retrancher derrière le fait qu'il ne disposait d'aucun pouvoir décisionnel, dès lors qu’il doit démissionner s’il est dans l’incapacité de remplir son mandat et de prendre les mesures qui s'imposent en raison de l’attitude d’un autre organe (arrêt du Tribunal fédéral 9C_716/2013 du 30 mai 2014 consid. 4.2.3).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Tel est le cas d'un homme de paille (arrêt du Tribunal fédéral 9C_722/2015 du 31 mai 2016 consid. 3.3). La jurisprudence s'est également montrée constante lorsqu'il s'agit d'apprécier la responsabilité d'administrateurs qui allèguent avoir été exclus de la gestion d'une société et qui s'en sont accommodés sans autre forme de procès, ce qui relève d’une négligence grave (arrêt du Tribunal fédéral 9C_722/2015 du 31 mai 2016 consid. 3.3).</w:t>
      </w:r>
    </w:p>
    <w:p>
      <w:r>
        <w:rPr>
          <w:b/>
        </w:rPr>
        <w:t>E. 8.3</w:t>
      </w:r>
    </w:p>
    <w:p>
      <w:r>
        <w:t>Il y a négligence grave d’un organe lorsqu’une société continue de verser des salaires sur lesquels ses ressources financières ne permettent pas de prélever les cotisations paritaires, et fait supporter le risque inhérent au financement d'une entreprise par l'assurance sociale (arrêt du Tribunal fédéral 9C_701/2018 du 27 novembre 2018 consid. 6.2). Si les ressources financières d’une entreprise ne lui permettent pas de payer les cotisations paritaires dans leur intégralité, ses organes ne doivent verser que les salaires pour lesquels les créances de cotisations peuvent être couvertes (arrêt du Tribunal fédéral 9C_338/2007 du 21 avril 2008 consid. 3.2).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w:t>
      </w:r>
    </w:p>
    <w:p>
      <w:r>
        <w:rPr>
          <w:b/>
        </w:rPr>
        <w:t>E. 9</w:t>
      </w:r>
    </w:p>
    <w:p>
      <w:r>
        <w:t>En ce qui concerne l'étendue dans le temps de la responsabilité, un organe doit en principe également être tenu du dommage découlant du non-paiement des cotisations échues avant son entrée en fonction (arrêt du Tribunal fédéral 9C_716/2013 du 30 mai 2014 consid. 4.3). On ne saurait cependant tenir un organe pour responsable du dommage préexistant à son arrivée au sein du conseil d'administration, qu’il n’a pas contribué à causer. Ce cas doit être distingué de ceux de membres du conseil d'administration d'une entreprise, qui répondent solidairement non seulement des cotisations d'assurances sociales courantes, mais également des dettes de cotisations échues à leur entrée au conseil d'administration. En effet, la question du lien de causalité entre l'inaction d'un administrateur et le non-paiement de cotisations arriérées ne se pose pas lorsqu’un dommage au sens de l'art. 52 LAVS préexiste, parce que la société était déjà insolvable avant l'entrée du nouveau membre au conseil d'administration (ATF 119 V 401 consid. 4c ; arrêt du Tribunal fédéral 9C_538/2019 du 19 juin 2020 consid. 3). Dans un tel cas, l’administrateur ne répond que de l’accroissement du dommage résultant de la poursuite des activités de la société jusqu’au prononcé de la faillite, les tentatives de redressement ayant échoué (arrêt du Tribunal fédéral H 76/06 du 11 juillet 2007 consid. 7.2). En d’autres termes, la responsabilité du nouvel administrateur pour le dommage causé avant son entrée en fonction n’est pas engagée s’il ne pouvait rien faire pour réparer ce dommage, car la société était déjà insolvable, respectivement surendettée au point que les cotisations sociales ne pouvaient être versées (arrêts du Tribunal fédéral 9C_454/2021 du 11 février 2022 consid. 5.2.1 et 9C_841/2010 du 22 septembre 2011 consid. 4.3). Il convient de distinguer l’insolvabilité du surendettement. La condition du dommage préexistant en tant que motif d’exclusion du lien de causalité a été liée à l’insolvabilité de la société dans l’arrêt de principe 119 V 401 , ainsi que dans la jurisprudence récente du Tribunal fédéral, malgré une référence dans certains arrêts au surendettement de la société plutôt qu’à son insolvabilité. Le surendettement est toutefois un indice de l’insolvabilité (arrêt du Tribunal fédéral 9C_538/2019 du 19 juin 2020 consid. 4.1 et 4.2, cf . pour un cas d’application arrêt du Tribunal fédéral H 277/01 du 29 août 2002 consid. 4.1 et 4.2, dans lequel l’insolvabilité de l’entreprise n’a pas été retenue au motif que celle-ci n’était pas surendettée). Il y a insolvabilité lorsqu’un débiteur ne peut durablement pas faire face à ses obligations financières, cas dans lequel un créancier ne peut plus espérer être payé (ATF 137 II 353 consid. 5.2.1). On retient une insolvabilité lorsqu'il existe des actes de défaut de biens, lorsque la faillite est ouverte ou en cas de concordat par abandon d'actifs. Elle est également reconnue lorsque d'autres éléments probants attestent de l'incapacité durable d’une société à faire face à ses obligations financières. Un manque de ressources financières à court terme ne suffit pas à admettre l’insolvabilité, il doit s’agir d’une situation durable (arrêt du Tribunal fédéral 2C_709/2008 du 2 avril 2009 consid. 4.2). Il y a en revanche surendettement au sens de l’art. 725 al. 2 2 e phr. CO dans sa teneur jusqu’au 31 décembre 2022 si un bilan intermédiaire soumis à un réviseur agréé révèle que les dettes sociales ne sont couvertes, ni lorsque les biens sont estimés à leur valeur d’exploitation, ni lorsqu’ils le sont à leur valeur de liquidation. Le surendettement au sens de cette disposition survient lorsque la totalité des fonds propres imposés par la loi est consommée par des pertes. Les fonds propres imposés par la loi se décomposent en capital social, soit pour une société anonyme du capital-actions, et le cas échéant du capital-participation et des réserves légales (Henry PETER / Francesca CAVADINI in Commentaire romand, Code des obligations II, 2 e éd., 2017, n. 2, 9 et 12 ad art. 725 CO).</w:t>
      </w:r>
    </w:p>
    <w:p>
      <w:r>
        <w:rPr>
          <w:b/>
        </w:rPr>
        <w:t>E. 10</w:t>
      </w:r>
    </w:p>
    <w:p>
      <w:r>
        <w:t>En l’espèce, la chambre de céans relève, s’agissant de la responsabilité du recourant avant sa nomination formelle en qualité d’administrateur en mars 2018, que contrairement à ce que semble suggérer l’intimée, on ne saurait lui reconnaître la qualité d’organe de fait. En effet, rien ne démontre qu’il aurait assumé des responsabilités dans la gestion administrative de la société, et son audition – dont il n’existe pas de motif de mettre en doute la véracité – révèle que ses activités relevaient avant tout du suivi des chantiers, voire de contacts avec les fournisseurs. C’est à juste titre que le recourant entend rapprocher sa situation de celle tranchée dans l’arrêt du Tribunal fédéral 9C_68/2020 du 29 décembre 2020, portant sur la responsabilité d’un directeur de société disposant de la signature collective à deux. Dans ce cas, notre Haute Cour a confirmé que ce dernier n’était pas organe de fait, les différents éléments n’ayant pas démontré une participation déterminante dans la marche des affaires, et la gestion quotidienne étant assumée quasi exclusivement par l’administrateur de la société. Dès lors qu’il n’existe aucun indice d’une activité du recourant en tant qu’organe de fait ayant participé à la gestion de la société avant mars 2018, la même conclusion s’impose dans le cas d’espèce. S’agissant d’un lien de causalité entre le comportement du recourant dans ses fonctions d’administrateur dès mars 2018 et le dommage subi par la caisse, l’analyse des comptes figurant dans le dossier relatif à la faillite de la société révèle une perte de CHF 113'800.19 durant l’exercice 2016. Au 31 décembre 2017, le bilan affichait des actifs de CHF 337'325.29 et des passifs comprenant des fonds étrangers de CHF 586'137.54, et les fonds propres – constitués uniquement du capital-actions –, s’élevaient à CHF 100'000.-. L’exercice 2017 s’est conclu par une perte de CHF 235'012.06, et par une perte totale de CHF 348'812.25 compte tenu du cumul avec la perte reportée de 2016. Il convient toutefois de noter que le compte courant du président, qui figurait dans les actifs à hauteur de CHF 119'559.20 dans le bilan de 2016 produit par le recourant à l’appui de son recours, est compté dans les passifs de la société dans les bilans de 2017 et 2018, à concurrence de respectivement CHF 99'792.35 et CHF 90'856.10. Ces chiffres révèlent que la situation financière de la société était gravement obérée à fin 2017 déjà, et relevait d’un surendettement au sens de la loi, la perte de CHF 348'812.25 étant supérieure au capital propre, qui s’élèverait au plus à CHF 199'792.35 même si l’on intégrait aux actifs le compte courant du président. Bien que la société ait été en mesure de procéder à d’importants paiements de quelque CHF 72'000.- au total, en 2018, afin de régler partiellement les cotisations en souffrance, il apparaît ainsi qu’elle ne disposait pas, ni à fin 2017, ni en mars 2018, des fonds nécessaires pour faire face à l’intégralité de sa dette à l’encontre de l’intimée. Selon l’extrait de compte de l’intimée portant sur la période du 1 er janvier 2017 au 4 octobre 2023, le solde des cotisations paritaires, intérêts et frais compris, s’élevait à CHF 110'685.60 au 21 février 2018 et à CHF 135'748.30 au 8 mars 2018, compte tenu d’un décompte de cotisations de CHF 25'062.70 pour février 2018. De tels arriérés de cotisations sont extrêmement importants au regard de la taille de la société – qui comptait une dizaine de salariés selon la déclaration de salaires de décembre 2017 –, de ses résultats et de son assise financière. Par ailleurs, le fait que la société ait espéré un assainissement de sa situation financière grâce à un contrat portant sur des travaux publics de quelque CHF 450'000.- ne permet pas de considérer que l’insolvabilité révélée par le surendettement à fin 2017 n’était que transitoire, dès lors que cette expectative ne s’est pas réalisée. Ainsi, force est de retenir que la société était insolvable, au vu de son surendettement lors de la prise de fonction du recourant. Partant, le dommage était déjà survenu – à tout le moins partiellement – à cette époque et n’a ainsi pas été causé par celui-ci. Par conséquent, conformément à la jurisprudence, le recourant ne doit répondre que de l’accroissement du dommage résultant de la poursuite des activités de la société pendant la durée de sa fonction d’administrateur, soit du 14 mars 2018 au 19 octobre 2018. La cause doit ainsi être renvoyée à l’intimée afin qu’elle détermine la quotité dudit dommage.</w:t>
      </w:r>
    </w:p>
    <w:p>
      <w:r>
        <w:rPr>
          <w:b/>
        </w:rPr>
        <w:t>E. 11.1</w:t>
      </w:r>
    </w:p>
    <w:p>
      <w:r>
        <w:t>Le recours est partiellement admis.</w:t>
      </w:r>
    </w:p>
    <w:p>
      <w:r>
        <w:rPr>
          <w:b/>
        </w:rPr>
        <w:t>E. 11.2</w:t>
      </w:r>
    </w:p>
    <w:p>
      <w:r>
        <w:t>Assisté par un avocat et obtenant partiellement gain de cause, le recourant a droit à des dépens, qui seront fixés à CHF 1'500.- (art. 61 let. g LPGA).</w:t>
      </w:r>
    </w:p>
    <w:p>
      <w:r>
        <w:rPr>
          <w:b/>
        </w:rPr>
        <w:t>E. 11.3</w:t>
      </w:r>
    </w:p>
    <w:p>
      <w:r>
        <w:t>Pour le surplus, la procédure est gratuite (art. 61 let. f bis LPGA a contrario ). PAR CES MOTIFS, LA CHAMBRE DES ASSURANCES SOCIALES : Statuant À la forme : 1.        Déclare le recours recevable. Au fond : 2.        L’admet partiellement. 3.        Annule la décision de l’intimée du 28 mars 2023 et lui renvoie la cause pour nouvelle décision au sens des considérants. 4.        Condamne l’intimée à verser au recourant une indemnité de dépens de CHF 1'500.-.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