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A/3121/2024 vom 4. Dezember 2025</w:t>
      </w:r>
    </w:p>
    <w:p>
      <w:r>
        <w:t>GE Cour de justice, 2025-12-04, FR</w:t>
      </w:r>
    </w:p>
    <w:p>
      <w:r>
        <w:rPr>
          <w:b/>
        </w:rPr>
        <w:t xml:space="preserve">Quelle: </w:t>
      </w:r>
      <w:r>
        <w:t>https://mcp.opencaselaw.ch/entscheid/ge_gerichte_A_3121_2024</w:t>
      </w:r>
    </w:p>
    <w:p>
      <w:r>
        <w:t>FR: GE_GERICHTE A/3121/2024 du 4 décembre 2025</w:t>
      </w:r>
    </w:p>
    <w:p>
      <w:r>
        <w:t>IT: GE_GERICHTE A/3121/2024 del 4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60 LPGA ; art. 62 al. 1 let. a LPA) prévus par la loi, compte tenu du report au lundi 23 septembre 2024 de l’échéance du délai, tombée sur l’avant-veille (art. 38 al. 3 LPGA), le recours est recevable.</w:t>
      </w:r>
    </w:p>
    <w:p>
      <w:r>
        <w:rPr>
          <w:b/>
        </w:rPr>
        <w:t>E. 2</w:t>
      </w:r>
    </w:p>
    <w:p>
      <w:r>
        <w:t>Le litige porte sur le droit éventuel du recourant à une rente d’invalidité et à une indemnité pour atteinte à l’intégrité.</w:t>
      </w:r>
    </w:p>
    <w:p>
      <w:r>
        <w:rPr>
          <w:b/>
        </w:rPr>
        <w:t>E. 3.1</w:t>
      </w:r>
    </w:p>
    <w:p>
      <w:r>
        <w:t>Le 1 er janvier 2017 est entrée en vigueur la modification du 25 septembre 2015 de la LAA. Dans la mesure où l'accident est survenu avant cette date (le 25 juillet 2015), le droit du recourant aux prestations d'assurance est soumis à l'ancien droit ( cf .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3.4</w:t>
      </w:r>
    </w:p>
    <w:p>
      <w:r>
        <w:t>Si l'assuré est invalide (art. 8 LPGA) à 10% au moins par suite d’un accident, il a droit à une rente d'invalidité (art. 18 al. 1 LAA). Est réputée invalidité l’incapacité de gain totale ou partielle qui est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3.4.2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 cf . ATF 119 V 475 consid. 2b et les références ; arrêt du Tribunal fédéral 8C_664/2007 du 14 avril 2008 consid. 7.2.2 à 7.2.5 et les références).</w:t>
      </w:r>
    </w:p>
    <w:p>
      <w:r>
        <w:rPr>
          <w:b/>
        </w:rPr>
        <w:t>E. 3.4.3</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 skill_level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 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 skill_level , T1_tirage_ skill_level et T17 des ESS publiées depuis 2012 (arrêt du Tribunal fédéral 8C_205/2021 du 4 août 2021 consid. 3.2.2 et les références). Il convient de se référer à la version de l'ESS publiée au moment déterminant de la décision querellée (ATF 143 V 295 consid. 4 et les références ; arrêt du Tribunal fédéral 8C_801/2021 du 28 juin 2022 consid. 3.6). Les tableaux TA1, T1 et T17 de l’ESS 2022 ont été publiés le 29 mai 2024, l’ESS 2020 le 23 août 2022 ; l’ESS 2018, le 21 avril 2020 ; l’ESS 2016, le 26 octobre 2018 (étant précisé que le tableau T1_tirage_ skill_level a été corrigé le 8 novembre 2018) ; et l’ESS 2014, le 15 avril 2016. Depuis la 10 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compétences ont été définis en fonction de neuf groupes de professions (voir tableau T17 de l'ESS 2012 p. 44) et du type de travail, de la formation nécessaire à la pratique de la profession et de l'expérience professionnelle (voir tableau TA1_ 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compétences 2, dès lors que dans la plupart des secteurs professionnels, un diplôme ou du moins des formations et des perfectionnements (formalisés) sont exigés (ATF 150 V 354 consid. 6.1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Le salaire fondé sur les ESS doit encore être adapté à l’horaire de travail usuel de la branche, et indexé à l’année déterminante en tenant compte des valeurs spécifiques au sexe (ATF 129 V 408 ).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 cf . ATF 143 V 295 consid. 4.1.3 ; arrêt du Tribunal fédéral 8C_659/2022 du 2 mai 2023 consid. 7.2).</w:t>
      </w:r>
    </w:p>
    <w:p>
      <w:r>
        <w:rPr>
          <w:b/>
        </w:rPr>
        <w:t>E. 3.5</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 re phr.). L'indemnité pour atteinte à l'intégrité vise à compenser le préjudice immatériel (douleurs, souffrances, diminution de la joie de vivre, limitation des jouissances offertes par l'existence etc .)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Le taux d'une atteinte à l'intégrité doit être évalué exclusivement sur la base de constatations médicales (ATF 115 V 147 consid. 1 ; 113 V 218 consid. 4b ; RAMA 2004 p. 415 ; arrêt du Tribunal fédéral U.134/03 du 12 janvier 2004 consid. 5.2).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l’ordonnance sur l’assurance-accidents du 20 décembre 1982 (OLAA ‑ RS 832.202 ; ATF 132 II 117 consid. 2.2.3 ; 124 V 209 consid. 4a/cc ; 116 V 156 consid. 3a).</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En l’espèce, il n’est pas contesté que le recourant souffre d’un syndrome douloureux régional complexe de la main droite, en lien avec l’accident dont il a été victime le 25 juillet 2015. Sur le plan médical, l’intimée, en s’appuyant sur le rapport d’expertise du Dr G______ du 21 octobre 2022, considère que le recourant dispose d’une capacité de travail entre 50 et 75% dans son activité habituelle d’employé de commerce, mais de 100% dans une activité adaptée à ses limitations fonctionnelles, depuis fin février 2018, date de la stabilisation de son état de santé. Il convient d’examiner la valeur probante de ce rapport d’expertise. Ce rapport se fonde sur l’anamnèse et le résumé des pièces médicales au dossier, y compris des rapports d’imagerie (p. 2-8, 12-13), sur les indications subjectives du recourant (p. 8-10), sur des observations cliniques (p. 10-12), ainsi que sur l’appréciation du cas qui est bien motivée et n’est contredite par aucun avis médical spécialisé (p. 13-18). Ce rapport remplit les exigences auxquelles la jurisprudence soumet la valeur probante d’un tel document. Plus particulièrement, le Dr G______ a posé le diagnostic, avec répercussion sur la capacité de travail, de raideur douloureuse résiduelle de la main droite après syndrome douloureux régional complexe secondaire à une contusion de la face dorsale de l’index, du majeur et de l’annulaire survenue le 25 juillet 2015. L’expert a estimé que la capacité de travail du recourant dans l’activité habituelle, qui nécessitait la saisie rapide au clavier, était limitée, en termes de rendement, qu’il a évaluée entre 50 et 75% (d’un taux de 100%). Cette appréciation tenait compte de pauses régulières ou d’une cadence de travail moins soutenue qu’avant l’accident. En revanche, dans une activité adaptée, la capacité de travail du recourant était entière, sans baisse de rendement, depuis début 2018, date à compter de laquelle l’état de santé était stabilisé. Les limitations fonctionnelles étaient une raideur de l’index, du majeur et de l’annulaire droits, un périmètre moindre de l’avant-bras et du bras droits et un manque de force de la main droite. Le recourant devait éviter, pour la main droite, le port de charges supérieures à 5-10 kg de façon isolée, 3-5 kg de façon répétée, la sollicitation dans la durée (plus d’une à deux heures sans pause) pour des tâches manuelles même légères (saisie au clavier), l’exposition aux températures extrêmes ou aux changements brusques de température, ainsi que l’exposition aux vibrations. Le Dr G______ s’est déterminé sur le rapport d’expertise du Dr C______ du 19 mars 2019, et s’est écarté des conclusions de son confrère, qui retenait une pleine capacité de travail dans l’activité habituelle. Le Dr G______ a expliqué que la capacité de travail du recourant ne pouvait pas être entière dans cette activité qui requérait l’usage des deux mains pour la saisie rapide au clavier, en raison de la perte de dextérité, de rapidité, de force et d’endurance de la main droite, dominante, qui entraînait une diminution de rendement. Les critiques que formule le recourant ne sont pas de nature à remettre en cause l'appréciation du Dr G______. Tout d’abord, peu importe que l’expert n’ait pas fixé un taux précis de la capacité de travail du recourant dans l’activité habituelle mais ait plutôt indiqué que celui-ci se situait entre 50 et 75%, car, en vertu de son obligation de réduire le dommage, il est exigible que le recourant cesse cette activité et exploite économiquement sa capacité résiduelle de travail dans une activité adaptée à son état de santé. Ce changement de profession permet ensuite d’établir s'il subit de ce fait une perte de gain. Le fait que l’expert n’ait pas mentionné dans le rapport d’expertise que la main droite s’était raidie et avait changé de couleur lors de l’entretien n’est pas décisif, puisqu’il s’agit de symptômes typiques du syndrome douloureux régional complexe ( cf . arrêt du Tribunal fédéral 8C_416/2019 du 15 juillet 2020 consid. 5.1) et l’expert a précisément retenu ce diagnostic dans son rapport. En tant que le recourant estime que la description de ses limitations fonctionnelles par l’expert était insuffisante et imprécise, il émet sa propre appréciation subjective, sans fournir aucune pièce médicale à l’appui de son raisonnement. Il n’est en tout cas pas nécessaire que l’expert précise la durée des pauses dont devrait bénéficier le recourant. En effet, l’expert a expressément retenu que celui-ci devait éviter la sollicitation de sa main droite dans la durée (plus d’une à deux heures sans pause) pour des tâches manuelles légères, telles que la saisie au clavier, ce qui correspond à l’activité habituelle du recourant. En d’autres termes, dans une activité adaptée sans usage prolongé de la main droite (le recourant n'est donc pas dans la situation d'une personne entièrement privée de l'usage de sa main droite), sa capacité de travail est entière. Ensuite, le raisonnement de l’expert sur le rendement n’est pas contradictoire. Dans l’arrêt de renvoi du 16 décembre 2021 opposant les parties ( ATAS/1301/2021 ), la chambre de céans a relevé que le Dr C______, dans son rapport d’expertise du 31 mai 2019, retenait une pleine capacité de travail dans l’activité habituelle exercée dans le domaine de la bureautique, laquelle impliquait par essence une utilisation régulière et intensive des deux mains et donc de la main droite. La chambre de céans soulignait que ce médecin n’avait pas expliqué les motifs pour lesquels un rendement identique était possible malgré les limitations qu’il avait constatées. Or, très vraisemblablement, l’atteinte à la main droite entraînait à tout le moins une diminution de rendement. Ainsi, il convenait d’instruire le dossier et de déterminer si le recourant pouvait effectuer son activité habituelle avec une probable diminution de rendement, qu’il y avait lieu cas échéant de chiffrer. Le Dr G______ a répondu à cette question par l’affirmative, en exposant que l’usage de la main droite, dominante, était limité par un certain degré de raideur digitale, par un manque d’endurance et de force ainsi que par des douleurs accentuées par les mouvements, raison pour laquelle la capacité de travail du recourant dans l’activité habituelle, qui nécessitait une sollicitation de la main droite dans la durée, ne pouvait pas être entière. Ainsi, le Dr G______ a tenu compte d’une baisse de rendement (et l’a chiffrée entre 25 et 50%) dans l’activité habituelle en raison de la diminution du rythme d’exécution des tâches (saisie au clavier). Cela étant, cette appréciation ne contredit pas celle selon laquelle, dans une activité adaptée sans effort ni usage prolongé de la main droite, la capacité de travail du recourant est entière. Il n’est par ailleurs pas nécessaire d’examiner plus en détail l’influence des douleurs persistantes du recourant sur sa capacité de travail résiduelle, car le Dr G______ a souligné que l’évaluation objective de la douleur restait complexe et imparfaite. En d’autres termes, la douleur qui varie selon les individus est une notion subjective qui ne peut pas avoir une incidence sur l’appréciation objective du cas, seule décisive. L’appréciation du Dr G______ selon laquelle une prise en charge antalgique pourrait atténuer les douleurs, améliorer l’endurance et augmenter la capacité de travail n’est pas déterminante pour l’issue du litige, dès lors que, dans tous les cas, la capacité de travail du recourant est déjà entière dans une activité adaptée à son état de santé, qu’il suive ou non un traitement antalgique. Enfin, la question de savoir si selon le Dr G______, l’activité en post-production, pour laquelle le recourant a bénéficié d’un reclassement financé par l’assurance-invalidité, est exigible ou pas peut demeurer ouverte. De l’avis du recourant, cette activité n’est pas adaptée à son état de santé, motif pris qu’elle est similaire à son activité antérieure, compte tenu notamment de la nécessité d’avoir « des positions des mains très précises » et de l’utilisation du clavier et de la souris. Lors de l’audience de comparution personnelle des parties du 5 juin 2025, le recourant a déclaré que s’il avait su que son atteinte à la main persisterait, il aurait effectué une reconversion dans une activité demandant très peu d’utilisation de la main droite. À cette occasion, la chambre de céans a également fait remarquer à l’intimée que l’activité dans la post-production (audiovisuel) exigeait un travail à l’ordinateur relativement semblable à un travail administratif (procès-verbal du même jour p. 3-4). Se poserait alors la question d’une éventuelle baisse de rendement de l’ordre de 25-50% dans l’activité de post-production. Parmi les activités décrites par l’intimée dans son écriture du 6 août 2025, bon nombre n'apparaît pas tout à fait adapté aux compétences du recourant, ni exigible du point de vue de son état de santé (tel que les métiers numériques [rédacteur web , journaliste, développeur, programmeur], les métiers créatifs ou artisanaux [peintre, calligraphe, musicien], les métiers liés à l’enseignement). Aussi la référence à ces activités ne peut-elle pas refléter la réelle capacité de gain du recourant. Quoi qu’il en soit, comme on le verra plus loin, il y a lieu de se référer, pour déterminer le revenu avec invalidité du recourant, à la valeur médiane (« total secteur privé ») du salaire statistique issu de la table TA1, et pas au salaire statistique d’une branche particulière (consid. 4.2 infra ). Au passage, sous l’angle psychique, le recourant ne remet pas en question le rapport d’expertise psychiatrique du 15 juin 2023, et en particulier ne conteste pas disposer d’une pleine capacité de travail dans toute activité sur le plan psychique. En définitive, il y a lieu d’admettre que le recourant est pleinement apte à exercer un emploi adapté à ses limitations fonctionnelles depuis début 2018. Étant donné que l’état de santé du recourant était stationnaire depuis début 2018, l’intimée était fondée à clore le cas à cette date et à examiner le droit éventuel du recourant à une rente d’invalidité de l’assurance-accidents et à une indemnité pour atteinte à l’intégrité.</w:t>
      </w:r>
    </w:p>
    <w:p>
      <w:r>
        <w:rPr>
          <w:b/>
        </w:rPr>
        <w:t>E. 4.2</w:t>
      </w:r>
    </w:p>
    <w:p>
      <w:r>
        <w:t>En ce qui concerne l’évaluation de l’invalidité du recourant, il y lieu de relever que l'assureur-accidents n'est pas lié par l'évaluation de l'invalidité de l'assurance-invalidité (ATF 131 V 362 consid. 2.3). Le début du droit à la rente du recourant, respectivement le moment où il convient de procéder à la comparaison des revenus, doit être fixé à la date de la fin des mesures de réadaptation de l'assurance-invalidité ( cf . art. 19 al. 1 LAA). En l’espèce, l’OAI a accordé des indemnités journalières au recourant durant son reclassement professionnel du 1 er septembre 2017 au 31 décembre 2018 ( cf . ATAS/1301/2021 du 16 décembre 2021 consid. 9.2.1). Par conséquent, le droit éventuel à la rente prend naissance le 1 er décembre 2019. La comparaison des revenus déterminants doit donc se faire au regard de l’année 2019. Il y a lieu de rappeler aux parties que l’art. 24 al. 2 OLAA auquel elles se réfèrent, et aux termes duquel «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 concerne l'adaptation du gain assuré déterminant pour la fixation de la rente qui naît plus de cinq ans après l'accident. Dans ce cas, cette adaptation ne doit pas se faire concrètement selon l'évolution des salaires auprès du dernier employeur mais en fonction de l'évolution des salaires nominaux dans le domaine d'activité antérieur ( cf . arrêt du Tribunal fédéral 8C_760/2014 du 15 octobre 2015 consid. 5.3.2). Selon l’art. 20 al. 1 LAA, la rente d’invalidité s’élève à 80% du gain assuré, en cas d’invalidité totale ; si l’invalidité n’est que partielle, la rente est diminuée en conséquence. In casu , outre le fait que le moment de l’ouverture du droit à la rente remonte au 1 er janvier 2019, soit trois ans et demi après l’accident du 25 juillet 2015, et non pas plus de cinq ans après celui-ci, l’art. 24 al. 2 OLAA est de toute manière pertinent pour le calcul du gain assuré, déterminant pour le montant de la rente d’invalidité - question qui sort ici de l’objet de la contestation, puisque la décision litigieuse nie le droit à une rente. Pour ce qui est du revenu sans invalidité, que le recourant aurait pu obtenir en 2019 - année déterminante pour la comparaison des revenus - dans son ancienne activité d’employé de commerce s'il n'avait pas été atteint dans sa santé, l'intimée s'est basée sur les données communiquées par l'ancien employeur dans la déclaration d'accident du 10 août 2015. En 2015, le revenu annuel brut était de CHF 72'026.70 pour un taux d’activité de 80%. Converti en salaire pour une activité à plein temps, il s’élève à CHF 90'033.375. Il y a lieu d’indexer ce montant à 2019. À cet égard, on ne peut pas se fonder sur les courriels de l’ancien employeur des 11 juillet et 25 septembre 2025 faisant état de l’historique des augmentations maximales de salaires annuelles appliquées dans la société en Suisse de 2016 à 2025. Il ressort en effet de ces documents que ces augmentations ne se rapportent pas précisément au poste de travail du recourant, étant relevé que l’ancien employeur a indiqué qu’il était difficile de répondre à la question de l’évolution du salaire du recourant s’il était resté dans l’entreprise. Il y a dès lors lieu d’adapter le revenu annuel sans invalidité de CHF 90'033.40 selon l'indice suisse des salaires nominaux pour les hommes, publié par l'OFS (tableau T39 ; ISS en 2015 : 2226 et en 2019 : 2279). On obtient ainsi un revenu sans invalidité de CHF 92'177.02677 (CHF 90'033.375 × 2279 / 2226) en 2019. Quant au revenu d’invalide du recourant en 2019, dans la mesure où il n'a pas repris d'activité professionnelle, ce revenu doit être évalué sur la base des statistiques salariales figurant dans l'ESS. En ce qui concerne l'année de référence des tableaux statistiques à appliquer, l'ESS 2018 était déjà publiée (le 21 avril 2020) au moment déterminant de la décision sur opposition du 21 août 2024. Aussi convient-il de se référer à la version 2018. Il ressort du dossier que, avant son atteinte à la santé en 2015, le recourant a successivement travaillé dans le domaine de la sérigraphie (impression sur textile), dans la bureautique au sein d’une entreprise active dans la fourniture de bureau, et au service d’une entreprise de télécommunications, puis en 2002-2003 en tant que vendeur dans une société spécialisée dans la distribution de produits informatiques, en 2003-2004 auprès d’une autre société dans la télévente de bannières publicitaires, en 2005-2006 dans la vente de cartouches d’imprimantes, en 2007-2013 dans la vente de tests de dépistages pour les hôpitaux en tant qu’employé de bureau, et enfin auprès de son ancien employeur (dossier intimée p. 533). Force est de constater que le recourant a exercé diverses activités professionnelles dans des domaines variés. Il ne se trouve pas dans la situation particulière dans laquelle il aurait travaillé de nombreuses années dans le même domaine d’activités avant son atteinte à la santé et où une activité dans un autre domaine n’entrerait pratiquement plus en ligne de compte, conditions requises par la jurisprudence pour s’écarter de la valeur médiane (« total secteur privé ») des salaires statistiques et se référer aux salaires mensuels de secteurs particuliers voire d’une branche particulière. En ce qui concerne le niveau de compétences du recourant, ce dernier possède un CFC de sérigraphiste sur textile. Comme relevé précédemment, il a exercé comme vendeur et a travaillé également dans le domaine administratif. Ces activités coïncident avec la définition du niveau de compétences 2 qui comprend les tâches pratiques telles que la vente / les soins / le traitement de données et les tâches administratives / l'utilisation de machines et d'appareils électroniques / les services de sécurité / la conduite de véhicules. Pour déterminer le revenu d’invalide du recourant, il convient dès lors de se fonder sur le revenu médian de CHF 5'649.- de la table TA1_tirage_ skill_level (ESS 2018, total secteur privé) pour un homme avec un niveau de compétences 2. Ce salaire hypothétique se base toutefois sur une durée hebdomadaire de travail de 40 heures, inférieure à la moyenne usuelle dans les entreprises. Ajusté à la durée hebdomadaire normale de travail en 2018, laquelle est de 41.7 heures (tableau « Durée normale du travail dans les entreprises selon la division économique » de l'OFS), ce montant doit être porté à CHF 70'668.99 par année ([CHF 5'649 × 12] × 41.7 / 40). Après adaptation de ce montant à l'évolution des salaires nominaux pour les hommes en 2019 (tableau T39 précité ; ISS ; en 2018 : 2260 et en 2019 : 2279), le revenu avec invalidité s’élève à CHF 71'263.10982 (CHF 70'668.99 × 2279 / 2260) pour un plein temps. À ce salaire, il n’y a pas lieu d’opérer un abattement. En effet, sur le marché du travail équilibré, il y a un éventail suffisamment large d'activités respectant les limitations fonctionnelles du recourant (telles que surveillant, gardien de musée, guide touristique). Ainsi, une déduction supplémentaire sur le salaire statistique ne se justifie pas pour tenir compte des circonstances liées au handicap. L'âge du recourant (42 ans au moment de la naissance du droit éventuel à la rente) ou sa nationalité (suisse) ne sont pas de nature à influer sur ses perspectives salariales ( cf . arrêt du Tribunal fédéral 9C_522/2011 du 8 février 2012 consid. 3.2 et 3.5). L’éloignement du marché du travail ne constitue pas un facteur d'abattement au sens de la jurisprudence (arrêt du Tribunal fédéral 9C_273/2019 du 18 juillet 2019 consid. 6.3 et la référence). Les années de service auprès de l'ancien employeur ne constituent pas un élément susceptible d'avoir un effet sur le montant du salaire auquel le recourant pourrait prétendre sur le marché du travail. Au moment de la survenance de son accident le 25 juillet 2015, le recourant travaillait pour l’ancien employeur depuis deux ans et cinq mois, ce qui n'est pas une durée assez longue, en règle générale, pour bénéficier de conditions particulières liées à l'ancienneté, même pour un employé qualifié du niveau de compétences 2 ( cf . arrêt du Tribunal fédéral 8C_405/2021 du 9 novembre 2021 consid. 6.4.2 dans lequel aucun abattement n’a été appliqué pour les années de service - sept ans et demi - auprès de l’ancien employeur de l’assurée, employée qualifiée du niveau de compétences 2). Par conséquent, le revenu avec invalidité de CHF 71'263.10982, comparé au revenu sans invalidité de CHF 92'177.02677, aboutit à un taux d'invalidité de 22.68% ([92'177.02677 - 71'263.10982] / 92'177.02677 × 100), arrondi à 23% (ATF 130 V 121 consid. 3.2), lequel ouvre le droit à une rente d'invalidité du même taux (art. 18 al. 1 LAA) à compter du 1 er janvier 2019.</w:t>
      </w:r>
    </w:p>
    <w:p>
      <w:r>
        <w:rPr>
          <w:b/>
        </w:rPr>
        <w:t>E. 4.3</w:t>
      </w:r>
    </w:p>
    <w:p>
      <w:r>
        <w:t>Le recourant sollicite l’octroi d’intérêts moratoires de 5% l’an sur le montant rétroactif des rentes auquel il a droit.</w:t>
      </w:r>
    </w:p>
    <w:p>
      <w:r>
        <w:rPr>
          <w:b/>
        </w:rPr>
        <w:t>E. 4.3.1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d'abord seulement deux ans après l'exigibilité de chaque rente mensuelle (ATF 133 V 9 consid. 3.6). Selon l'art. 7 al. 1 de l’ordonnance sur la partie générale du droit des assurances sociales, du 11 septembre 2002 (OPGA -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4.3.2</w:t>
      </w:r>
    </w:p>
    <w:p>
      <w:r>
        <w:t>En l’occurrence, le droit à la rente d’invalidité en tant que tel est né le 1 er janvier 2019, comme relevé précédemment. Le recourant peut donc prétendre à un intérêt moratoire de 5% l’an dès le 1 er janvier 2021, le premier jour du mois durant lequel le délai de 24 mois à compter de la naissance du droit a expiré. Par ailleurs, aucun défaut de collaboration ne peut lui être imputé. Il s’ensuit que l’intimée doit être condamnée au versement des intérêts moratoires à compter du 1 er janvier 2021, jusqu’à la fin du mois durant lequel l’ordre de paiement est donné.</w:t>
      </w:r>
    </w:p>
    <w:p>
      <w:r>
        <w:rPr>
          <w:b/>
        </w:rPr>
        <w:t>E. 4.4</w:t>
      </w:r>
    </w:p>
    <w:p>
      <w:r>
        <w:t>En ce qui concerne le droit éventuel à une indemnité pour atteinte à l’intégrité, il ressort du rapport d’expertise du Dr G______ du 21 octobre 2022 que la situation du recourant ne correspond à aucune de celles citées dans les tables de la SUVA. En particulier, faute d’amputation et dans la mesure où la fonction des doigts atteints n’était pas nulle, le taux d’atteinte à l’intégrité objectivable était de 0%. En tant que le recourant invoque un taux d’indemnité de 30%, il se limite à substituer sa propre évaluation à celle du Dr G______. Or, aucun avis médical au dossier ne procède à une évaluation divergente de son atteinte à l'intégrité ou ne permet de mettre en doute l'appréciation dudit médecin. En conséquence, la décision litigieuse, en tant qu’elle nie le droit du recourant à une indemnité pour atteinte à l’intégrité, sera confirmée.</w:t>
      </w:r>
    </w:p>
    <w:p>
      <w:r>
        <w:rPr>
          <w:b/>
        </w:rPr>
        <w:t>E. 4.5</w:t>
      </w:r>
    </w:p>
    <w:p>
      <w:r>
        <w:t>Au vu des développements qui précèdent, il n’est pas nécessaire de donner suite aux mesures d’instruction supplémentaires sollicitées par le recourant.</w:t>
      </w:r>
    </w:p>
    <w:p>
      <w:r>
        <w:rPr>
          <w:b/>
        </w:rPr>
        <w:t>E. 5</w:t>
      </w:r>
    </w:p>
    <w:p>
      <w:r>
        <w:t>Sur le vu de ce qui précède, le recours sera partiellement admis et la décision sur opposition du 21 août 2024 réformée, en ce sens que le recourant a droit à une rente d'invalidité de l'assurance-accidents de 23% à partir du 1 er janvier 2019, avec intérêts moratoires de 5% dès le 1 er janvier 2021 jusqu'à la fin du mois durant lequel l'ordre de paiement est donné. Le recourant, représenté par un avocat, et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2'000.-.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