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A/3119/2021 vom 2. Juni 2022</w:t>
      </w:r>
    </w:p>
    <w:p>
      <w:r>
        <w:t>GE Cour de justice, 2022-06-02, FR</w:t>
      </w:r>
    </w:p>
    <w:p>
      <w:r>
        <w:rPr>
          <w:b/>
        </w:rPr>
        <w:t xml:space="preserve">Quelle: </w:t>
      </w:r>
      <w:r>
        <w:t>https://mcp.opencaselaw.ch/entscheid/ge_gerichte_A_3119_2021</w:t>
      </w:r>
    </w:p>
    <w:p>
      <w:r>
        <w:t>FR: GE_GERICHTE A/3119/2021 du 2 juin 2022</w:t>
      </w:r>
    </w:p>
    <w:p>
      <w:r>
        <w:t>IT: GE_GERICHTE A/3119/2021 del 2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![endif]&gt;![if&gt;</w:t>
      </w:r>
    </w:p>
    <w:p>
      <w:r>
        <w:rPr>
          <w:b/>
        </w:rPr>
        <w:t>E. 2.1</w:t>
      </w:r>
    </w:p>
    <w:p>
      <w:r>
        <w:t>À teneur de l’art. 1 al. 1 LAA, les dispositions de la LPGA s’appliquent à l’assurance-accidents, à moins que la loi n’y déroge expressément.![endif]&gt;![if&gt;</w:t>
      </w:r>
    </w:p>
    <w:p>
      <w:r>
        <w:rPr>
          <w:b/>
        </w:rPr>
        <w:t>E. 2.2</w:t>
      </w:r>
    </w:p>
    <w:p>
      <w:r>
        <w:t>La procédure devant la chambre de céans est régie par les dispositions de la LPGA et de la loi sur la procédure administrative, du 12 septembre 1985 (LPA – E 5 10).![endif]&gt;![if&gt;</w:t>
      </w:r>
    </w:p>
    <w:p>
      <w:r>
        <w:rPr>
          <w:b/>
        </w:rPr>
        <w:t>E. 2.3</w:t>
      </w:r>
    </w:p>
    <w:p>
      <w:r>
        <w:t>Le délai de recours est de trente jours (art. 56 LPGA; art. 62 al. 1 LPA).![endif]&gt;![if&gt;</w:t>
      </w:r>
    </w:p>
    <w:p>
      <w:r>
        <w:rPr>
          <w:b/>
        </w:rPr>
        <w:t>E. 2.4</w:t>
      </w:r>
    </w:p>
    <w:p>
      <w:r>
        <w:t>Interjeté à temps et satisfaisant aux exigences de forme et de contenu prévues par l’art. 61 let. b LPGA (cf. aussi l’art. 89B LPA), le recours est recevable.![endif]&gt;![if&gt;</w:t>
      </w:r>
    </w:p>
    <w:p>
      <w:r>
        <w:rPr>
          <w:b/>
        </w:rPr>
        <w:t>E. 3</w:t>
      </w:r>
    </w:p>
    <w:p>
      <w:r>
        <w:t>Est litigieuse la question de savoir s’il existe un lien de causalité entre les lésions à l’œil gauche du recourant et l’accident du 24 août 2020.![endif]&gt;![if&gt;</w:t>
      </w:r>
    </w:p>
    <w:p>
      <w:r>
        <w:rPr>
          <w:b/>
        </w:rPr>
        <w:t>E. 4</w:t>
      </w:r>
    </w:p>
    <w:p>
      <w:r>
        <w:t>Dans la mesure où l’accident est survenu le 24 août 2020, le droit du recourant aux prestations d’assurance est soumis au nouveau droit, en vigueur depuis le 1 er janvier 2017 (cf. dispositions transitoires relatives à la modification du 25 septembre 2015; arrêt du Tribunal fédéral 8C_662/2016 du 23 mai 2017 consid. 2.2). Les dispositions légales seront citées ci-après dans leur teneur en vigueur depuis le 1 er janvier 2017.![endif]&gt;![if&gt;</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 5. Causalité</w:t>
      </w:r>
    </w:p>
    <w:p>
      <w:r>
        <w:rPr>
          <w:b/>
        </w:rPr>
        <w:t>E. 5</w:t>
      </w:r>
    </w:p>
    <w:p>
      <w:r>
        <w:t>![endif]&gt;![if&gt;</w:t>
      </w:r>
    </w:p>
    <w:p>
      <w:r>
        <w:rPr>
          <w:b/>
        </w:rPr>
        <w:t>E. 5.1</w:t>
      </w:r>
    </w:p>
    <w:p>
      <w:r>
        <w:t>Les atteintes constatées sont-elles dans un rapport de causalité avec l’accident du 24 août 2020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En cas d’atteinte à la santé en relation de causalité avec l’accident au degré de la vraisemblance prépondérante (probabilité de plus de 50%), à partir de quel moment le statu quo ante a-t-il été atteint (moment où l’état de santé de la personne expertisée est similaire à celui qui existait immédiatement avant l’accident) ?</w:t>
      </w:r>
    </w:p>
    <w:p>
      <w:r>
        <w:rPr>
          <w:b/>
        </w:rPr>
        <w:t>E. 5.1.3</w:t>
      </w:r>
    </w:p>
    <w:p>
      <w:r>
        <w:t>Veuillez indiquer, pour chaque diagnostic posé, si le statu quo ante a été atteint et, dans l’affirmative, à quelle date.</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w:t>
      </w:r>
    </w:p>
    <w:p>
      <w:r>
        <w:t>![endif]&gt;![if&gt;</w:t>
      </w:r>
    </w:p>
    <w:p>
      <w:r>
        <w:rPr>
          <w:b/>
        </w:rPr>
        <w:t>E. 6.1</w:t>
      </w:r>
    </w:p>
    <w:p>
      <w:r>
        <w:t>Indiquer les limitations fonctionnelles en relation avec chaque diagnostic</w:t>
      </w:r>
    </w:p>
    <w:p>
      <w:r>
        <w:rPr>
          <w:b/>
        </w:rPr>
        <w:t>E. 6.1.1</w:t>
      </w:r>
    </w:p>
    <w:p>
      <w:r>
        <w:t>Dates d’apparition 7. Capacité de travail</w:t>
      </w:r>
    </w:p>
    <w:p>
      <w:r>
        <w:rPr>
          <w:b/>
        </w:rPr>
        <w:t>E. 6.2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6.3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w:t>
      </w:r>
    </w:p>
    <w:p>
      <w:r>
        <w:rPr>
          <w:b/>
        </w:rPr>
        <w:t>E. 7</w:t>
      </w:r>
    </w:p>
    <w:p>
      <w:r>
        <w:t>![endif]&gt;![if&gt;</w:t>
      </w:r>
    </w:p>
    <w:p>
      <w:r>
        <w:rPr>
          <w:b/>
        </w:rPr>
        <w:t>E. 7.1</w:t>
      </w:r>
    </w:p>
    <w:p>
      <w:r>
        <w:t>Quelle est la capacité de travail de la personne expertisée dans son activité habituelle (i.e. avant l’accident), compte tenu des seules atteintes en rapport de causalité (au moins probable – probabilité de plus de 50 %) avec l’accident du 24 août 2020 et comment cette capacité de travail a-t-elle évolué depuis cet 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 avec l’accident ?</w:t>
      </w:r>
    </w:p>
    <w:p>
      <w:r>
        <w:rPr>
          <w:b/>
        </w:rPr>
        <w:t>E. 7.2.1</w:t>
      </w:r>
    </w:p>
    <w:p>
      <w:r>
        <w:t>Si cette capacité de travail est seulement partielle, quelles sont les limitations fonctionnelles qui entrent en ligne de compte ? Depuis quelle date sont-elles présentes ? 8. Traitement</w:t>
      </w:r>
    </w:p>
    <w:p>
      <w:r>
        <w:rPr>
          <w:b/>
        </w:rPr>
        <w:t>E. 7.2.2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références).![endif]&gt;![if&gt;</w:t>
      </w:r>
    </w:p>
    <w:p>
      <w:r>
        <w:rPr>
          <w:b/>
        </w:rPr>
        <w:t>E. 7.2.3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8.5</w:t>
      </w:r>
    </w:p>
    <w:p>
      <w:r>
        <w:t>En cas d’incapacité de travail totale ou partielle durable dans l’activité habituelle : s’il n’y a plus lieu d’attendre de la continuation du traitement médical une notable amélioration de l’état de santé de la personne expertisée (état final atteint), celle-ci a-t-elle néanmoins besoin de manière durable d’un traitement et de soins pour conserver sa capacité résiduelle de gain ? 9. Atteinte à l’intégrité</w:t>
      </w:r>
    </w:p>
    <w:p>
      <w:r>
        <w:rPr>
          <w:b/>
        </w:rPr>
        <w:t>E. 9</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Dans l’affirmative, à quel degré ? Veuillez motiver votre appréciation en référence à l’annexe 3 de l’OLAA (art. 36 al. 2 LAA) et aux tables de la SUVA.</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10</w:t>
      </w:r>
    </w:p>
    <w:p>
      <w:r>
        <w:t>Appréciation d’avis médicaux du dossier</w:t>
      </w:r>
    </w:p>
    <w:p>
      <w:r>
        <w:rPr>
          <w:b/>
        </w:rPr>
        <w:t>E. 10.1</w:t>
      </w:r>
    </w:p>
    <w:p>
      <w:r>
        <w:t>Êtes-vous d’accord avec les appréciations successives du Dr K______ ? En particulier avec le principe que le lien de causalité entre les troubles de l’œil gauche et l’accident du 24 août 2020 serait possible tout au plus ? Si non, pourquoi ?</w:t>
      </w:r>
    </w:p>
    <w:p>
      <w:r>
        <w:rPr>
          <w:b/>
        </w:rPr>
        <w:t>E. 10.2</w:t>
      </w:r>
    </w:p>
    <w:p>
      <w:r>
        <w:t>Retenez-vous, à l’image de ce qui est mentionné dans certains rapports, que la personne expertisée était déshydratée au moment de l’accident ? En particulier, existe-t-il des éléments objectifs qui parlent en faveur d’une déshydratation ? Si non, pourquoi ? Si oui, ce facteur a-t-il favorisé l’apparition des troubles à l’œil gauche ? De quelle manière ?</w:t>
      </w:r>
    </w:p>
    <w:p>
      <w:r>
        <w:rPr>
          <w:b/>
        </w:rPr>
        <w:t>E. 10.3</w:t>
      </w:r>
    </w:p>
    <w:p>
      <w:r>
        <w:t>Êtes-vous d’accord avec le rapport du 28 octobre 2020 du Dr J______, en particulier avec les constatations/diagnostics de ce médecin ayant une incidence sur les troubles de l’œil gauche ?</w:t>
      </w:r>
    </w:p>
    <w:p>
      <w:r>
        <w:rPr>
          <w:b/>
        </w:rPr>
        <w:t>E. 10.4</w:t>
      </w:r>
    </w:p>
    <w:p>
      <w:r>
        <w:t>Êtes-vous d’accord avec le rapport du Prof. I______ du 31 janvier 2022 ? Si non, pourquoi ?</w:t>
      </w:r>
    </w:p>
    <w:p>
      <w:r>
        <w:rPr>
          <w:b/>
        </w:rPr>
        <w:t>E. 10.5</w:t>
      </w:r>
    </w:p>
    <w:p>
      <w:r>
        <w:t>Existe-t-il des douleurs physiques persistantes ? Depuis quand ? Atteignent-elles une intensité particulière ?</w:t>
      </w:r>
    </w:p>
    <w:p>
      <w:r>
        <w:rPr>
          <w:b/>
        </w:rPr>
        <w:t>E. 10.6</w:t>
      </w:r>
    </w:p>
    <w:p>
      <w:r>
        <w:t>À teneur de la littérature scientifique sur le sujet, l’occlusion de la veine centrale de l’œil peut-elle être d’origine traumatique ?</w:t>
      </w:r>
    </w:p>
    <w:p>
      <w:r>
        <w:rPr>
          <w:b/>
        </w:rPr>
        <w:t>E. 10.6.1</w:t>
      </w:r>
    </w:p>
    <w:p>
      <w:r>
        <w:t>Si oui, le traumatisme de l’œil concerné doit-il être direct ou peut-il être indirect ?</w:t>
      </w:r>
    </w:p>
    <w:p>
      <w:r>
        <w:rPr>
          <w:b/>
        </w:rPr>
        <w:t>E. 10.6.2</w:t>
      </w:r>
    </w:p>
    <w:p>
      <w:r>
        <w:t>Un changement hémodynamique transitoire peut-il causer une occlusion de la veine centrale de l’œil ?</w:t>
      </w:r>
    </w:p>
    <w:p>
      <w:r>
        <w:rPr>
          <w:b/>
        </w:rPr>
        <w:t>E. 10.6.3</w:t>
      </w:r>
    </w:p>
    <w:p>
      <w:r>
        <w:t>La chute qu’a subi la personne expertisée lors de l’accident du 24 août 2020 s’apparente-t-elle à un traumatisme susceptible d’engendrer une occlusion de la veine centrale de l’œil ?</w:t>
      </w:r>
    </w:p>
    <w:p>
      <w:r>
        <w:rPr>
          <w:b/>
        </w:rPr>
        <w:t>E. 11</w:t>
      </w:r>
    </w:p>
    <w:p>
      <w:r>
        <w:t>Autres facteurs Suite à l’accident du 24 août 2020 :</w:t>
      </w:r>
    </w:p>
    <w:p>
      <w:r>
        <w:rPr>
          <w:b/>
        </w:rPr>
        <w:t>E. 11.1</w:t>
      </w:r>
    </w:p>
    <w:p>
      <w:r>
        <w:t>Les lésions apparues sont-elles graves ?</w:t>
      </w:r>
    </w:p>
    <w:p>
      <w:r>
        <w:rPr>
          <w:b/>
        </w:rPr>
        <w:t>E. 11.2</w:t>
      </w:r>
    </w:p>
    <w:p>
      <w:r>
        <w:t>Ces lésions ont-elles nécessité des traitements continus spécifiques ? Si oui, lesquels ? Pendant quel intervalle de temps ?</w:t>
      </w:r>
    </w:p>
    <w:p>
      <w:r>
        <w:rPr>
          <w:b/>
        </w:rPr>
        <w:t>E. 11.3</w:t>
      </w:r>
    </w:p>
    <w:p>
      <w:r>
        <w:t>Des erreurs médicales dans le traitement de la personne expertisée se sont-elles produites ? Si oui, lesquelles et avec quelles conséquences ?</w:t>
      </w:r>
    </w:p>
    <w:p>
      <w:r>
        <w:rPr>
          <w:b/>
        </w:rPr>
        <w:t>E. 11.4</w:t>
      </w:r>
    </w:p>
    <w:p>
      <w:r>
        <w:t>Des difficultés et complications importantes sont-elles apparues au cours de la guérison ? si oui, lesquelles et avec quelles conséquences ?</w:t>
      </w:r>
    </w:p>
    <w:p>
      <w:r>
        <w:rPr>
          <w:b/>
        </w:rPr>
        <w:t>E. 12</w:t>
      </w:r>
    </w:p>
    <w:p>
      <w:r>
        <w:t>Quel est le pronostic ?</w:t>
      </w:r>
    </w:p>
    <w:p>
      <w:r>
        <w:rPr>
          <w:b/>
        </w:rPr>
        <w:t>E. 13</w:t>
      </w:r>
    </w:p>
    <w:p>
      <w:r>
        <w:t>faire toutes autre observations ou suggestions utiles. II. Invite l’expert à déposer son rapport en trois exemplaires dans les meilleurs délais auprès de la chambre de céans.![endif]&gt;![if&gt; III. Réserve le fond ainsi que le sort des frais jusqu’à droit jugé au fond.![endif]&gt;![if&gt; La greffière Isabelle CASTILLO La présidente 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