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A/3119/2007 vom 12. Juni 2007</w:t>
      </w:r>
    </w:p>
    <w:p>
      <w:r>
        <w:t>GE Cour de justice, 2007-06-12, FR</w:t>
      </w:r>
    </w:p>
    <w:p>
      <w:r>
        <w:rPr>
          <w:b/>
        </w:rPr>
        <w:t xml:space="preserve">Quelle: </w:t>
      </w:r>
      <w:r>
        <w:t>https://mcp.opencaselaw.ch/entscheid/ge_gerichte_A_3119_2007</w:t>
      </w:r>
    </w:p>
    <w:p>
      <w:r>
        <w:t>FR: GE_GERICHTE A/3119/2007 du 12 juin 2007</w:t>
      </w:r>
    </w:p>
    <w:p>
      <w:r>
        <w:t>IT: GE_GERICHTE A/3119/2007 del 12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Anamnèse</w:t>
      </w:r>
    </w:p>
    <w:p>
      <w:r>
        <w:rPr>
          <w:b/>
        </w:rPr>
        <w:t>E. 2</w:t>
      </w:r>
    </w:p>
    <w:p>
      <w:r>
        <w:t>Données subjectives de la personne</w:t>
      </w:r>
    </w:p>
    <w:p>
      <w:r>
        <w:rPr>
          <w:b/>
        </w:rPr>
        <w:t>E. 3</w:t>
      </w:r>
    </w:p>
    <w:p>
      <w:r>
        <w:t>Constatations objectives</w:t>
      </w:r>
    </w:p>
    <w:p>
      <w:r>
        <w:rPr>
          <w:b/>
        </w:rPr>
        <w:t>E. 4</w:t>
      </w:r>
    </w:p>
    <w:p>
      <w:r>
        <w:t>Diagnostic(s) selon la CIM-10</w:t>
      </w:r>
    </w:p>
    <w:p>
      <w:r>
        <w:rPr>
          <w:b/>
        </w:rPr>
        <w:t>E. 5</w:t>
      </w:r>
    </w:p>
    <w:p>
      <w:r>
        <w:t>Mentionner pour chaque diagnostic posé ses conséquences sur la capacité de travail de la recourante, en pour-cent</w:t>
      </w:r>
    </w:p>
    <w:p>
      <w:r>
        <w:rPr>
          <w:b/>
        </w:rPr>
        <w:t>E. 6</w:t>
      </w:r>
    </w:p>
    <w:p>
      <w:r>
        <w:t>Dater la survenance de l’incapacité de travail durable, le cas échéant.</w:t>
      </w:r>
    </w:p>
    <w:p>
      <w:r>
        <w:rPr>
          <w:b/>
        </w:rPr>
        <w:t>E. 7</w:t>
      </w:r>
    </w:p>
    <w:p>
      <w:r>
        <w:t>Quelles sont les limitations fonctionnelles de la recourante ?</w:t>
      </w:r>
    </w:p>
    <w:p>
      <w:r>
        <w:rPr>
          <w:b/>
        </w:rPr>
        <w:t>E. 8</w:t>
      </w:r>
    </w:p>
    <w:p>
      <w:r>
        <w:t>La recourante peut-elle encore exercer son activité habituelle ? Dans l'affirmative, depuis quand et dans quelle mesure ? Dans quelle mesure une activité lucrative adaptée est-elle raisonnablement exigible de la recourante, et dans ce cas, depuis quand et dans quel(s) domaine(s) ?</w:t>
      </w:r>
    </w:p>
    <w:p>
      <w:r>
        <w:rPr>
          <w:b/>
        </w:rPr>
        <w:t>E. 9</w:t>
      </w:r>
    </w:p>
    <w:p>
      <w:r>
        <w:t>Evaluer les chances de succès d’une réadaptation professionnelle</w:t>
      </w:r>
    </w:p>
    <w:p>
      <w:r>
        <w:rPr>
          <w:b/>
        </w:rPr>
        <w:t>E. 10</w:t>
      </w:r>
    </w:p>
    <w:p>
      <w:r>
        <w:t>La capacité de travail peut-elle être améliorée par des mesures médicales ?</w:t>
      </w:r>
    </w:p>
    <w:p>
      <w:r>
        <w:rPr>
          <w:b/>
        </w:rPr>
        <w:t>E. 11</w:t>
      </w:r>
    </w:p>
    <w:p>
      <w:r>
        <w:t>Pronostic</w:t>
      </w:r>
    </w:p>
    <w:p>
      <w:r>
        <w:rPr>
          <w:b/>
        </w:rPr>
        <w:t>E. 12</w:t>
      </w:r>
    </w:p>
    <w:p>
      <w:r>
        <w:t>Toutes remarques utiles et propositions de l’expert Commet à ces fins le Dr M_________, spécialiste FMH en rhumatologie, place Grenus 7, 1201 Genève  ; Invite l’expert à déposer d'ici au 15 mai 2008 son rapport en trois exemplaires au greffe du Tribunal de céans  ; Réserve le fond . La greffière Isabelle CASTILLO La Présidente Juliana BALDE Une copie conforme du présent arrêt est notifiée aux parties ainsi qu'à l'Office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