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A/3105/2024 vom 31. März 2025</w:t>
      </w:r>
    </w:p>
    <w:p>
      <w:r>
        <w:t>GE Cour de justice, 2025-03-31, FR</w:t>
      </w:r>
    </w:p>
    <w:p>
      <w:r>
        <w:rPr>
          <w:b/>
        </w:rPr>
        <w:t xml:space="preserve">Quelle: </w:t>
      </w:r>
      <w:r>
        <w:t>https://mcp.opencaselaw.ch/entscheid/ge_gerichte_A_3105_2024</w:t>
      </w:r>
    </w:p>
    <w:p>
      <w:r>
        <w:t>FR: GE_GERICHTE A/3105/2024 du 31 mars 2025</w:t>
      </w:r>
    </w:p>
    <w:p>
      <w:r>
        <w:t>IT: GE_GERICHTE A/3105/2024 del 31 marzo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y a lieu d’examiner la qualité pour recourir de l’époux de la recourante.</w:t>
      </w:r>
    </w:p>
    <w:p>
      <w:r>
        <w:rPr>
          <w:b/>
        </w:rPr>
        <w:t>E. 2.1</w:t>
      </w:r>
    </w:p>
    <w:p>
      <w:r>
        <w:t>À teneur de l’art. 60 al. 1 LPA, ont qualité pour recourir notamment les parties à la procédure qui a abouti à la décision attaquée (let. a) et toute personne qui est touchée directement par une décision et a un intérêt personnel digne de protection à ce qu’elle soit annulée ou modifiée (let. b). Quant à l’art 59 LPGA, il prévoit que quiconque est touché par la décision ou la décision sur opposition et a un intérêt digne d’être protégé à ce qu’elle soit annulée ou modifiée a qualité pour recourir.</w:t>
      </w:r>
    </w:p>
    <w:p>
      <w:r>
        <w:rPr>
          <w:b/>
        </w:rPr>
        <w:t>E. 2.2</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138 II 162 consid. 2.1.2 ; 120 V 38 consid. 2b). L’intérêt doit être direct et concret ; en particulier, la personne doit se trouver dans un rapport suffisamment étroit avec la décision, tel n’étant pas le cas de celui qui n’est atteint que de manière indirecte ou médiate (ATF 125 V 339 consid. 4a et les références).</w:t>
      </w:r>
    </w:p>
    <w:p>
      <w:r>
        <w:rPr>
          <w:b/>
        </w:rPr>
        <w:t>E. 2.3</w:t>
      </w:r>
    </w:p>
    <w:p>
      <w:r>
        <w:t>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 Les mêmes prérogatives sont accordées au conjoint de l'ayant droit, selon les termes de l'art. 67 al. 1 du règlement sur l'assurance-vieillesse et survivants du 31 octobre 1947 (RAVS - RS 831.101), applicable par renvoi de l'art. 20 al. 1 de l'ordonnance sur les prestations complémentaires à l'assurance-vieillesse, survivants et invalidité du 15 janvier 1971 (OPC‑AVS/AI ‑ RS 831.301) (arrêt du Tribunal fédéral 9C_301/2016 du 25 janvier 2017).</w:t>
      </w:r>
    </w:p>
    <w:p>
      <w:r>
        <w:rPr>
          <w:b/>
        </w:rPr>
        <w:t>E. 2.4</w:t>
      </w:r>
    </w:p>
    <w:p>
      <w:r>
        <w:t>En l’occurrence, la recourante est seule bénéficiaire des prestations complémentaires, de sorte que c’est à raison que la décision litigieuse lui a été notifiée à l’exclusion de son époux. Elle dispose donc de la qualité pour recourir. Quant à son époux, en tant que conjoint de l’ayant droit, il dispose également du droit de demander des prestations complémentaires auprès de l’intimé, de sorte que la qualité pour recourir à l’encontre de la décision de l’intimé doit aussi lui être reconnue. Partant, la recourante et son époux disposent de la légitimation active pour contester la décision litigieuse.</w:t>
      </w:r>
    </w:p>
    <w:p>
      <w:r>
        <w:rPr>
          <w:b/>
        </w:rPr>
        <w:t>E. 2.5</w:t>
      </w:r>
    </w:p>
    <w:p>
      <w:r>
        <w:t>Interjeté en temps utile, le recours est recevable (art. 60 al. 1 LPGA).</w:t>
      </w:r>
    </w:p>
    <w:p>
      <w:r>
        <w:rPr>
          <w:b/>
        </w:rPr>
        <w:t>E. 3</w:t>
      </w:r>
    </w:p>
    <w:p>
      <w:r>
        <w:t>Le litige porte sur la question de savoir si la recourante peut bénéficier d’une remise de l’obligation de rembourser CHF 22'328.-.</w:t>
      </w:r>
    </w:p>
    <w:p>
      <w:r>
        <w:rPr>
          <w:b/>
        </w:rPr>
        <w:t>E. 4.1.1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4.1.2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4.1.3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re phrase LPGA et des dispositions particulières et, le cas échéant, une troisième décision sur la remise de l'obligation de restituer au sens de l'art. 25 al. 1, 2 e phrase LPGA ( cf . art. 3 et 4 OPGA ; arrêt du Tribunal fédéral 9C_678/2011 du 4 janvier 2012 consid. 5.1.1 et 5.2). Le délai de 30 jours prévu par l'art. 4 al. 4 OPGA pour le dépôt de la demande de remise est un délai d'ordre et non un délai de péremption (ATF 132 V 42 consid. 3).</w:t>
      </w:r>
    </w:p>
    <w:p>
      <w:r>
        <w:rPr>
          <w:b/>
        </w:rPr>
        <w:t>E. 4.2.1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4.2.2</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4.3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w:t>
      </w:r>
    </w:p>
    <w:p>
      <w:r>
        <w:rPr>
          <w:b/>
        </w:rPr>
        <w:t>E. 4.3.1</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A en particulier été niée la bonne foi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4.3.2</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4.4</w:t>
      </w:r>
    </w:p>
    <w:p>
      <w:r>
        <w:t>Conformément à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L'art. 16 RPCC-AVS/AI reprend les mêmes principes que la législation fédérale susmentionnée : est déterminant, pour apprécier s'il y a une situation difficile, le moment où la décision de restitution est exécutoire (al.1) ; il y a une situation difficile lorsque les conditions de l'art. 5 OPGA, appliqué par analogie, sont réalisées (al. 2).</w:t>
      </w:r>
    </w:p>
    <w:p>
      <w:r>
        <w:rPr>
          <w:b/>
        </w:rPr>
        <w:t>E. 4.4.1</w:t>
      </w:r>
    </w:p>
    <w:p>
      <w:r>
        <w:t>Dans le cadre de l'examen de la condition de la situation difficile (art. 25 al. 1 LPGA),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8C_954/2008 du 29 mai 2009 consid. 7.2 et les références ; 8C_766/2007 du 17 avril 2008 consid. 4.2 ; C 93/05 du 20 janvier 2007 consid. 5.3.4 ; 9C_246/2022 du 6 décembre 2022 consid. 3.3). Par ailleurs, la détermination des revenus et des dépenses doit être effectuée en tenant compte de l’ensemble des conditions d’existence de la personne tenue à restituer. Ainsi, pour les personnes mariées, le revenu et la fortune de deux conjoints sont pris en compte sans égard à leur régime matrimonial pour autant qu’ils ne soient pas séparés (ATF 116 V 290 consid. 2a). Si la restitution incombe aux héritiers, cette condition doit être remplie par chacun d’eux (ATF 96 V 72 consid. 2).</w:t>
      </w:r>
    </w:p>
    <w:p>
      <w:r>
        <w:rPr>
          <w:b/>
        </w:rPr>
        <w:t>E. 4.4.2</w:t>
      </w:r>
    </w:p>
    <w:p>
      <w:r>
        <w:t>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w:t>
      </w:r>
    </w:p>
    <w:p>
      <w:r>
        <w:rPr>
          <w:b/>
        </w:rPr>
        <w:t>E. 4.4.3</w:t>
      </w:r>
    </w:p>
    <w:p>
      <w:r>
        <w:t>À teneur des directives concernant les prestations complémentaires à l'AVS et à l'AI (ci-après : DPC), valables dès le 1 er avril 2011 (état au 1 er janvier 2021), pour l’établissement des revenus déterminants et de la fortune, on se fondera en règle générale sur les revenus obtenus au cours de l’année civile précédente et sur la fortune déterminante au 1 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(DPC n. 4653.03). Si des PC doivent être restituées en raison d’un versement rétroactif de prestations d’assurances sociales, on ne saurait opposer à l’ordre de restitution une éventuelle situation difficile lorsque les versements rétroactifs de prestations sont d’un montant au moins identique et : qu’aux conditions prévues par l’art. 20 al. 2 LPC, le montant à restituer peut être compensé avec les prestations en question ; que les moyens financiers résultant du versement rétroactif existent encore au moment où la décision portant sur la restitution des PC est rendue ; ou que le bénéficiaire de PC a utilisé les moyens financiers résultant du versement rétroactif à d’autres fins malgré l’attente d’une éventuelle restitution des PC. En revanche, si le montant de la restitution est supérieur au montant du paiement rétroactif, la situation difficile ne peut exister que pour le montant de la différence (DPC n° 4653.04).</w:t>
      </w:r>
    </w:p>
    <w:p>
      <w:r>
        <w:rPr>
          <w:b/>
        </w:rPr>
        <w:t>E. 5</w:t>
      </w:r>
    </w:p>
    <w:p>
      <w:r>
        <w:t>En l’occurrence, dans la décision litigieuse, l’intimé admet la bonne foi de la recourante jusqu’au mois d’août 2022 et la nie de septembre à novembre 2022.</w:t>
      </w:r>
    </w:p>
    <w:p>
      <w:r>
        <w:rPr>
          <w:b/>
        </w:rPr>
        <w:t>E. 5.1</w:t>
      </w:r>
    </w:p>
    <w:p>
      <w:r>
        <w:t>Les recourants estiment tout d’abord qu’ils étaient de bonne foi de septembre à novembre 2022, au motif qu’ils pensaient que les décisions de l’OAI étaient automatiquement transmises à l’intimé, qu’ils avaient annoncé le rétroactif de rente à l’intimé à peine deux mois après sa réception et qu’ils pensaient ne rien devoir à l’intimé, dès lors qu’aucun remboursement n’avait été exigé de la recourante lorsqu’elle avait reçu un rétroactif de rente d’invalidité en 2016. Ces arguments ne résistent pas à l’examen. Courant août 2022, les recourants ont été informés du droit du recourant à une rente d’invalidité depuis le 1 er janvier 2019. Dans ces conditions, même s’ils pensaient que les décisions de l’OAI du 15 août 2022 étaient transmises automatiquement à l’intimé, ils devaient savoir, à tout le moins dès septembre 2022, que ce revenu supplémentaire serait pris en compte et pourrait aboutir à une demande de remboursement des prestations complémentaires versées en trop. En conséquence, même si les recourants estiment qu’ils ont transmis sans retard les décisions de l’OAI à l’intimé, soit le 20 octobre 2022, ce qui n’est d’ailleurs pas contesté par celui-ci, leur bonne foi ne peut être admise puisqu’ils devaient savoir qu’une partie des prestations complémentaires versées dès le mois de septembre 2022 pouvait être indue. Enfin, la recourante ayant été mise au bénéfice de prestations complémentaires depuis le 1 er juin 2017 seulement ( cf. décision de l’intimé du 12 juin 2017), elle ne peut se prévaloir du fait qu’aucune prestation complémentaire ne lui aurait été demandée en remboursement à l’occasion du versement, qu’elle allègue, d’un rétroactif de sa rente d’invalidité, courant 2016. Partant, c’est à raison que l’intimé a nié la bonne foi des recourants de septembre à novembre 2022. En conséquence, la remise de l’obligation de restituer pourrait, sous réserve de la réalisation de la condition difficile, être allouée pour les prestations reçues à tort du 1 er janvier 2019 au 31 août 2022.</w:t>
      </w:r>
    </w:p>
    <w:p>
      <w:r>
        <w:rPr>
          <w:b/>
        </w:rPr>
        <w:t>E. 5.2</w:t>
      </w:r>
    </w:p>
    <w:p>
      <w:r>
        <w:t>S’agissant de la condition difficile, l’intimé estime qu’elle n’est pas remplie, dès lors que, d’une part, les recourants ont reçu un rétroactif de rente d’invalidité supérieur au solde à rembourser, d’autre part, qu’ils n’ont pas été à même de justifier l’utilisation des montants reçus. Quant aux recourants, ils font valoir qu’ils ont remboursé une dette envers le frère de la recourante.</w:t>
      </w:r>
    </w:p>
    <w:p>
      <w:r>
        <w:rPr>
          <w:b/>
        </w:rPr>
        <w:t>E. 5.2.1</w:t>
      </w:r>
    </w:p>
    <w:p>
      <w:r>
        <w:t>La décision de restitution du 25 novembre 2022 était exécutoire fin décembre 2022, moment qui est ainsi déterminant pour apprécier l’existence d’une situation difficile. Selon l’extrait du compte UBS du recourant, les montants reçus de la caisse, soit un total de CHF 22'202.- (soit CHF 8'363.- le 17 août 2022 et CHF 13'839.- le 5 septembre 2022) ont été quasiment en totalité retirés au bancomat pour CHF 8'000.- le 18 août 2022 et pour CHF 13'800.- le 12 septembre 2022, soit pour un montant total de CHF 21'800.-. Au 31 décembre 2022, le compte UBS du recourant présentait un solde négatif de CHF 65.76 et le compte CRÉDIT SUISSE de la recourante un solde positif de CHF 887.85. Le capital obtenu grâce au rétroactif de rente d’invalidité n’existait ainsi plus au moment où la décision de restitution était exécutoire.</w:t>
      </w:r>
    </w:p>
    <w:p>
      <w:r>
        <w:rPr>
          <w:b/>
        </w:rPr>
        <w:t>E. 5.2.2</w:t>
      </w:r>
    </w:p>
    <w:p>
      <w:r>
        <w:t>Cependant, il y a encore lieu d’examiner les raisons de la diminution du patrimoine des recourants. Ceux-ci invoquent le remboursement de CHF 22'000.- en septembre 2022 d’une dette envers le frère de la recourante de CHF 29'881.23. Comme relevé par l’intimé, le remboursement de cette dette n’apparait pas, au degré de la vraisemblance prépondérante, comme étant établi. Les recourants ont annoncé cette dette seulement au stade du recours et elle n’est attestée que par un document signé du frère de la recourante le 14 octobre 2024, soit postérieurement à la décision litigieuse. Par ailleurs, ils ont effectué un retrait au bancomat de CHF 8'000.- le 18 août 2022 déjà, alors que le frère de la recourante a indiqué avoir séjourné en Suisse en septembre 2022 et obtenu à ce moment-là le remboursement. On comprend mal l’urgence d’un retrait d’argent cash pour en opérer un remboursement à tout le moins 18 jours plus tard (le second retrait ayant eu lieu le 5 septembre 2022). En outre, la preuve d’un versement de CHF 5'107.65 le 4 mars 2008 par la société E______, dont le lien avec le frère de la recourante n’apparait pas, n’est pas suffisant non plus pour attester d’une dette des recourants envers ce dernier, étant relevé que le solde de la dette n’est établi par aucun document. Quoi qu’il en soit, dès lors que les recourants devaient s’attendre, dès le versement du rétroactif de la rente d’invalidité, à devoir rembourser l’intimé des prestations versées en trop, le remboursement précipité de la dette envers le frère de la recourante, même avéré, ne permet pas d’admettre la condition de la situation difficile (à cet égard arrêt du Tribunal fédéral 9C_139/2015 du 9 mars 2015).</w:t>
      </w:r>
    </w:p>
    <w:p>
      <w:r>
        <w:rPr>
          <w:b/>
        </w:rPr>
        <w:t>E. 5.2.3</w:t>
      </w:r>
    </w:p>
    <w:p>
      <w:r>
        <w:t>Le rétroactif de rente d’invalidité reçu, soit un montant de CHF 22'202.-, étant toutefois légèrement inférieur au montant dont la restitution est exigée, de CHF 22'328.-, la remise de l’obligation de restituer peut être admise pour le solde de CHF 126.- (CHF 22'328 - CHF 22'202).</w:t>
      </w:r>
    </w:p>
    <w:p>
      <w:r>
        <w:rPr>
          <w:b/>
        </w:rPr>
        <w:t>E. 6</w:t>
      </w:r>
    </w:p>
    <w:p>
      <w:r>
        <w:t>Partant le recours sera partiellement admis et la décision litigieuse du 21 août 2024 annulée, la demande de remise étant admise à hauteur de CHF 126.- et rejetée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