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A/3103/2008 vom 6. März 2009</w:t>
      </w:r>
    </w:p>
    <w:p>
      <w:r>
        <w:t>GE Cour de justice, 2009-03-06, FR</w:t>
      </w:r>
    </w:p>
    <w:p>
      <w:r>
        <w:rPr>
          <w:b/>
        </w:rPr>
        <w:t xml:space="preserve">Quelle: </w:t>
      </w:r>
      <w:r>
        <w:t>https://mcp.opencaselaw.ch/entscheid/ge_gerichte_A_3103_2008</w:t>
      </w:r>
    </w:p>
    <w:p>
      <w:r>
        <w:t>FR: GE_GERICHTE A/3103/2008 du 6 mars 2009</w:t>
      </w:r>
    </w:p>
    <w:p>
      <w:r>
        <w:t>IT: GE_GERICHTE A/3103/2008 del 6 marzo 2009</w:t>
      </w:r>
    </w:p>
    <w:p>
      <w:pPr>
        <w:pStyle w:val="Heading2"/>
      </w:pPr>
      <w:r>
        <w:t>Erwägungen</w:t>
      </w:r>
    </w:p>
    <w:p>
      <w:r>
        <w:rPr>
          <w:b/>
        </w:rPr>
        <w:t>E. 1</w:t>
      </w:r>
    </w:p>
    <w:p>
      <w:r>
        <w:t>Conformément à l’art. 56V de la loi sur l’organisation judiciaire (LOJ), le Tribunal cantonal des assurances sociales est compétent pour statuer dans la présente cause.</w:t>
      </w:r>
    </w:p>
    <w:p>
      <w:r>
        <w:rPr>
          <w:b/>
        </w:rPr>
        <w:t>E. 2</w:t>
      </w:r>
    </w:p>
    <w:p>
      <w:r>
        <w:t>A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w:t>
      </w:r>
    </w:p>
    <w:p>
      <w:r>
        <w:rPr>
          <w:b/>
        </w:rPr>
        <w:t>E. 3</w:t>
      </w:r>
    </w:p>
    <w:p>
      <w:r>
        <w:t>En l'espèce, la situation juridique de Messieurs G_________, D_________, H_________, I_________, J_________, E_________, K_________, F_________, L_________ pourrait être affectée par l'issue de la présente procédure. Il se justifie par conséquent de les appeler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