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A/309/2022 vom 11. August 2023</w:t>
      </w:r>
    </w:p>
    <w:p>
      <w:r>
        <w:t>GE Cour de justice, 2023-08-11, FR</w:t>
      </w:r>
    </w:p>
    <w:p>
      <w:r>
        <w:rPr>
          <w:b/>
        </w:rPr>
        <w:t xml:space="preserve">Quelle: </w:t>
      </w:r>
      <w:r>
        <w:t>https://mcp.opencaselaw.ch/entscheid/ge_gerichte_A_309_2022</w:t>
      </w:r>
    </w:p>
    <w:p>
      <w:r>
        <w:t>FR: GE_GERICHTE A/309/2022 du 11 août 2023</w:t>
      </w:r>
    </w:p>
    <w:p>
      <w:r>
        <w:t>IT: GE_GERICHTE A/309/2022 del 11 agosto 2023</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LPCC).![endif]&gt;![if&gt;</w:t>
      </w:r>
    </w:p>
    <w:p>
      <w:r>
        <w:rPr>
          <w:b/>
        </w:rPr>
        <w:t>E. 2</w:t>
      </w:r>
    </w:p>
    <w:p>
      <w:r>
        <w:t>![endif]&gt;![if&gt;</w:t>
      </w:r>
    </w:p>
    <w:p>
      <w:r>
        <w:rPr>
          <w:b/>
        </w:rPr>
        <w:t>E. 2.1</w:t>
      </w:r>
    </w:p>
    <w:p>
      <w:r>
        <w:t>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 8C_1036/2012 consid. 3.3 ; 8C_18/2009 du 31 juillet 2009 consid. 3 et I 278/02 du 24 juin 2002 consid. 2 ; ATAS/393/2021 du 29 avril 2021 consid. 3c ; ATAS/173/2021 consid. 7b).![endif]&gt;![if&gt; Au sens des art. 53 al. 3 LPGA et 58 al. 1 PA, l’autorité intimée peut rendre une nouvelle décision après sa première réponse – ou premier préavis –, mais dans le cadre d’un échange d’écritures prévu par le droit de procédure ou ordonné par la chambre des assurances sociales ( ATAS/393/2021 précité consid. 3d et f et les références citées).</w:t>
      </w:r>
    </w:p>
    <w:p>
      <w:r>
        <w:rPr>
          <w:b/>
        </w:rPr>
        <w:t>E. 2.2</w:t>
      </w:r>
    </w:p>
    <w:p>
      <w:r>
        <w:t>En l’occurrence, la décision sur opposition du 17 décembre 2021 confirme le bien-fondé de la demande de restitution des prestations complémentaires versées du 1 er septembre 2018 au 30 septembre 2021. Suite au recours formé le 20 janvier 2022, l’intimé a rendu une nouvelle décision le 21 novembre 2022, par laquelle il a reconnu le droit aux prestations complémentaires du recourant à compter du 1 er août 2021. Cette décision, rendue après la première réponse de l’intimé devant la chambre de céans, est intervenue dans le cadre de la suspension de la procédure prononcée par la chambre de céans jusqu’à droit jugé sur la demande de réexamen formée par le recourant à l’encontre de la décision de suspension de sa rente AI. En application de l’art. 53 al. 3 LPGA, interprétée à la lumière de l’ ATAS/393/2021 , cette décision remplace la décision entreprise s’agissant de la période postérieure au 31 juillet 2021. Le litige ne porte donc plus que sur le bien-fondé de la demande de restitution des prestations complémentaires pour la période du 1 er septembre 2018 au 31 juillet 2021.![endif]&gt;![if&gt;</w:t>
      </w:r>
    </w:p>
    <w:p>
      <w:r>
        <w:rPr>
          <w:b/>
        </w:rPr>
        <w:t>E. 3</w:t>
      </w:r>
    </w:p>
    <w:p>
      <w:r>
        <w:t>Le litige pose la question de savoir si, dans le cas particulier de prestations complémentaires liées à une rente d’invalidité, celles-ci peuvent être suspendues lorsque son bénéficiaire se trouve en détention.![endif]&gt;![if&gt;</w:t>
      </w:r>
    </w:p>
    <w:p>
      <w:r>
        <w:rPr>
          <w:b/>
        </w:rPr>
        <w:t>E. 3.1</w:t>
      </w:r>
    </w:p>
    <w:p>
      <w:r>
        <w:t>Aux termes de l'art. 2 al. 1 LPC, la Confédération et les cantons accordent aux personnes qui remplissent les conditions fixées aux art. 4 à 6 des prestations complémentaires destinées à la couverture des besoins vitaux.![endif]&gt;![if&gt;</w:t>
      </w:r>
    </w:p>
    <w:p>
      <w:r>
        <w:rPr>
          <w:b/>
        </w:rPr>
        <w:t>E. 3.2</w:t>
      </w:r>
    </w:p>
    <w:p>
      <w:r>
        <w:t>L’art. 4 al. 1 let. c LPC prévoit que les personnes qui ont leur domicile et leur résidence habituelle en Suisse ont droit à des prestations complémentaires, dès lors qu’elles ont droit à une rente de l’assurance-invalidité (AI).![endif]&gt;![if&gt; Au plan cantonal, l’art. 2 al. 1 LPCC prévoit qu’ont droit à ces dernières les personnes : qui ont leur domicile et leur résidence habituelle sur le territoire de la République et canton de Genève ; et qui sont au bénéfice d'une rente de l'assurance-invalidité.</w:t>
      </w:r>
    </w:p>
    <w:p>
      <w:r>
        <w:rPr>
          <w:b/>
        </w:rPr>
        <w:t>E. 3.3</w:t>
      </w:r>
    </w:p>
    <w:p>
      <w:r>
        <w:t>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LPC).![endif]&gt;![if&gt; En revanche, lorsque, comme en l’espèce, l’assuré subit une mesure ou une peine privative de liberté, le cas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(arrêt du Tribunal fédéral 8C_139/2007 du 30 mai 2008 ; Michel VALTERIO, Commentaire de la loi sur les prestations complémentaires à l’AVS et à l’AI, Genève/Zurich/Bâle 2015, p. 52, ad art. 8 LPC). Ainsi, au chapitre 2.6.2 afférent au cas particulier du droit aux prestations complémentaires durant l’exécution de peines ou de mesures, les Directives concernant les prestations complémentaires à l’AVS et à l’AI (ci-après :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En effet, selon l’art. 21 al. 5 LPGA, le paiement des prestations pour perte de gain peut être partiellement ou totalement suspendu à l’exception des prestations destinée à l’entretien de proches. Le calcul de la prestation complémentaire des membres de la famille répond alors à des règles particulières. Elle est calculée sur les mêmes bases que la prestation complémentaire initiale, mais sans les dépenses de la personne subissant l’exécution de la peine ou de la mesure et en tenant compte de ses revenus effectifs. La prestation de base suspendue n’est donc pas prise en compte dans les revenus (ch. 3520.01 DPC). En outre, pour le conjoint de la personne incarcérée, il est tenu compte – en lieu et place du montant destiné à la couverture des besoins vitaux du couple – du montant destiné à la couverture des besoins vitaux des personnes seules (ch. 3520.02 DPC). Enfin, pour les couples sans enfants dont un conjoint est incarcéré, le montant maximum de loyer pour couples peut entrer en ligne de compte pendant une année au plus. Au-delà, seul le montant maximum pour personnes seules peut être pris en considération (ch. 3520.03 DPC).</w:t>
      </w:r>
    </w:p>
    <w:p>
      <w:r>
        <w:rPr>
          <w:b/>
        </w:rPr>
        <w:t>E. 3.4</w:t>
      </w:r>
    </w:p>
    <w:p>
      <w:r>
        <w:t>Selon les art. 25 al. 1 LPGA et 24 LPCC, les prestations indûment touchées doivent être restituées. ![endif]&gt;![if&gt;</w:t>
      </w:r>
    </w:p>
    <w:p>
      <w:r>
        <w:rPr>
          <w:b/>
        </w:rPr>
        <w:t>E. 3.5</w:t>
      </w:r>
    </w:p>
    <w:p>
      <w:r>
        <w:t>En l’espèce, suite à son incarcération en août 2018, le versement de la rente AI du recourant a été suspendu dès le 1 er septembre 2018. Cette décision est entrée en force. Or, dans la mesure où l’octroi des prestations complémentaires est subordonné à la condition que la personne ait droit à la rente AI, les prestations complémentaires n’étant qu’un complément à celle-ci, la suspension de la rente AI entraîne également la suspension du versement des prestations complémentaires. En revanche, il ressort du texte clair des DPC, que ces prestations continuent d’être versées pour toutes les personnes comprises dans le calcul. Cette solution répond au but de protection sociale de la loi en tenant compte du principe selon lequel les personnes soutenues par l’intéressé ne doivent pas subir toutes les conséquences économiques de la privation de liberté (cf. ATF 116 V 20 consid. 3b ; VALTERIO, op. cit., p. 52). Or, il ressort des plans de calcul des prestations complémentaires du recourant que son épouse était comprise dans les calculs. C’est partant à tort que l’intimé a supprimé le versement de toutes ses prestations depuis le 1 er septembre 2018. Conformément aux directives précitées, il lui incombait de recalculer le droit aux prestations complémentaires en tenant compte des règles de calcul particulières décrites aux ch. 3623.01 ss des DPC.![endif]&gt;![if&gt; La décision entreprise doit ainsi être annulée en tant qu’elle confirme le bien-fondé de la restitution de l’intégralité des prestations complémentaires versées pour la période du 1 er septembre 2018 au 31 juillet 2021. Les considérants qui précèdent conduisent à l’admission du recours et au renvoi de la cause à l’intimé afin qu’il calcule le montant des prestations complémentaires dues durant la période précitée et rende une nouvelle décision.</w:t>
      </w:r>
    </w:p>
    <w:p>
      <w:r>
        <w:rPr>
          <w:b/>
        </w:rPr>
        <w:t>E. 4</w:t>
      </w:r>
    </w:p>
    <w:p>
      <w:r>
        <w:t>Le recourant, représenté par une avocate (art. 9 al. 1 LPA) et obtenant gain de cause, une indemnité de CHF 1'500.- lui sera accordée à titre de participation à ses frais et dépens (art. 61 let. g LPGA ; art. 6 du règlement sur les frais, émoluments et indemnités en matière administrative du 30 juillet 1986 [RFPA - E 5 10.03] ; art. 89H al. 3 LPA).![endif]&gt;![if&gt;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