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A/3088/2022 vom 16. April 2024</w:t>
      </w:r>
    </w:p>
    <w:p>
      <w:r>
        <w:t>GE Cour de justice, 2024-04-16, FR</w:t>
      </w:r>
    </w:p>
    <w:p>
      <w:r>
        <w:rPr>
          <w:b/>
        </w:rPr>
        <w:t xml:space="preserve">Quelle: </w:t>
      </w:r>
      <w:r>
        <w:t>https://mcp.opencaselaw.ch/entscheid/ge_gerichte_A_3088_2022</w:t>
      </w:r>
    </w:p>
    <w:p>
      <w:r>
        <w:t>FR: GE_GERICHTE A/3088/2022 du 16 avril 2024</w:t>
      </w:r>
    </w:p>
    <w:p>
      <w:r>
        <w:t>IT: GE_GERICHTE A/3088/2022 del 16 aprile 2024</w:t>
      </w:r>
    </w:p>
    <w:p>
      <w:pPr>
        <w:pStyle w:val="Heading2"/>
      </w:pPr>
      <w:r>
        <w:t>Erwägungen</w:t>
      </w:r>
    </w:p>
    <w:p>
      <w:r>
        <w:rPr>
          <w:b/>
        </w:rPr>
        <w:t>E. 4</w:t>
      </w:r>
    </w:p>
    <w:p>
      <w:r>
        <w:t>La recourante prétend faire l'objet d'un changement de pratique inconstitutionnel, du fait que « pendant des dizaines d'années, la mutation des droits immobiliers du défunt aux noms de ses héritiers ne donnait pas lieu à la perception de droits d'enregistrement de partage aussi longtemps qu'une telle opération n'était pas effectivement intervenue, ceci même si les conjoints étaient soumis à un régime de participation aux acquêts, de copropriété ou de communauté de biens », pratique qui avait été « bouleversée par la jurisprudence résultant de l'arrêt [ recte : du jugement] JTAPI/6662/2021 ».</w:t>
      </w:r>
    </w:p>
    <w:p>
      <w:r>
        <w:rPr>
          <w:b/>
        </w:rPr>
        <w:t>E. 4.1</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ATA/515/2023 du 16 mai 2023 consid. 3.1 ; ATA/557/2022 du 24 mai 2022 consid. 11a).</w:t>
      </w:r>
    </w:p>
    <w:p>
      <w:r>
        <w:rPr>
          <w:b/>
        </w:rPr>
        <w:t>E. 4.2</w:t>
      </w:r>
    </w:p>
    <w:p>
      <w:r>
        <w:t>Pour être compatible avec les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w:t>
      </w:r>
    </w:p>
    <w:p>
      <w:r>
        <w:rPr>
          <w:b/>
        </w:rPr>
        <w:t>E. 4.3</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Ainsi, le contribuable ne peut bénéficier d'un traitement dérogeant à la loi que si les conditions prévues par la jurisprudence – qui doivent être interprétées de façon stricte – sont remplies de manière claire et sans équivoque (arrêts du Tribunal fédéral 2C_461/2021 du 19 janvier 2022 consid. 5.1 ; 2C_603/2012 du 10 décembre 2012 consid. 4).</w:t>
      </w:r>
    </w:p>
    <w:p>
      <w:r>
        <w:rPr>
          <w:b/>
        </w:rPr>
        <w:t>E. 4.4</w:t>
      </w:r>
    </w:p>
    <w:p>
      <w:r>
        <w:t>En l'espèce, dans la mesure où ce n'est pas l'intimée elle-même qui a choisi de changer de pratique, mais où ledit changement provient d'une décision judiciaire, on peut douter que les conditions ci-dessus pour un changement de pratique administrative soient applicables. On ne conçoit en effet pas qu'une autorité administrative puisse conserver sa pratique lorsqu'une autorité judiciaire de recours la censure. Quoi qu'il en soit, la recourante ne démontre pas l'existence de la pratique qu'elle dit avoir prévalu pendant plusieurs décennies. De plus, comme on l'a vu, la décision de taxation litigieuse a appliqué correctement la loi, le principe de légalité devant en l'espèce l'emporter sur le droit au maintien d'une pratique administrative. Enfin, la décision de taxation porte sur l'imposition de la liquidation préalable du régime matrimonial et non sur un partage successoral en tant que tel. Dans ces conditions, on ne saurait y voir un changement de pratique inconstitutionnel. Le grief sera écarté. Entièrement mal fondé, le recours de A______ sera rejeté.</w:t>
      </w:r>
    </w:p>
    <w:p>
      <w:r>
        <w:rPr>
          <w:b/>
        </w:rPr>
        <w:t>E. 5</w:t>
      </w:r>
    </w:p>
    <w:p>
      <w:r>
        <w:t>Vu l'issue du litige, un émolument de CHF 1'500.- sera mis à la charge solidaire des recourantes,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