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A/3074/2024 vom 24. September 2025</w:t>
      </w:r>
    </w:p>
    <w:p>
      <w:r>
        <w:t>GE Cour de justice, 2025-09-24, FR</w:t>
      </w:r>
    </w:p>
    <w:p>
      <w:r>
        <w:rPr>
          <w:b/>
        </w:rPr>
        <w:t xml:space="preserve">Quelle: </w:t>
      </w:r>
      <w:r>
        <w:t>https://mcp.opencaselaw.ch/entscheid/ge_gerichte_A_3074_2024</w:t>
      </w:r>
    </w:p>
    <w:p>
      <w:r>
        <w:t>FR: GE_GERICHTE A/3074/2024 du 24 septembre 2025</w:t>
      </w:r>
    </w:p>
    <w:p>
      <w:r>
        <w:t>IT: GE_GERICHTE A/3074/2024 del 24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30 jours (art. 56 LPGA ; art. 62 al. 1 de la loi sur la procédure administrative du 12 septembre 1985 [LPA - E 5 10]). Interjeté dans la forme et le délai prévus par la loi, le recours est recevable.</w:t>
      </w:r>
    </w:p>
    <w:p>
      <w:r>
        <w:rPr>
          <w:b/>
        </w:rPr>
        <w:t>E. 2</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les deux décisions querellées concernent le droit du recourant à une rente entière en raison des mêmes atteintes, seules les périodes visées par les décisions du 15 août 2024 étant différentes. Deux décisions différentes ayant été notifiées, il existe deux liens d’instance et ce même si l’assuré n’a formellement formé qu’un seul acte de recours. La chambre a attribué le n° de cause A/3074/2024 au recours dirigé contre la décision du 18 septembre 2024 relative à la période courant du 1 er février 2015 au 28 février 2019 et le n° de cause A/3075/2024 à celui dirigé contre la décision du 18 septembre 2024 concernant la période du 1 er mars 2019 au 30 novembre 2020. Dans ces circonstances, il convient donc préalablement de joindre les deux procédures précitées sous le n° A/3074/2024.</w:t>
      </w:r>
    </w:p>
    <w:p>
      <w:r>
        <w:rPr>
          <w:b/>
        </w:rPr>
        <w:t>E. 3</w:t>
      </w:r>
    </w:p>
    <w:p>
      <w:r>
        <w:t>Le litige porte sur le droit du recourant à une rente entière pour la période du 1 er février 2015 au 30 novembre 2020, en lieu et place de trois quarts de rente accordé par l’OAI, singulièrement sur la valeur probante de l’expertise du CEMEDEX et la comparaison des revenus. Le litige porte en outre sur le calcul des intérêts moratoires dus par l’office intimé.</w:t>
      </w:r>
    </w:p>
    <w:p>
      <w:r>
        <w:rPr>
          <w:b/>
        </w:rPr>
        <w:t>E. 4.1</w:t>
      </w:r>
    </w:p>
    <w:p>
      <w:r>
        <w:t>Le 1 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Dans les cas de révision selon l'art. 17 LPGA, conformément aux principes généraux du droit intertemporel ( cf .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w:t>
      </w:r>
    </w:p>
    <w:p>
      <w:r>
        <w:rPr>
          <w:b/>
        </w:rPr>
        <w:t>E. 4.2</w:t>
      </w:r>
    </w:p>
    <w:p>
      <w:r>
        <w:t>En l’occurrence, la décision litigieuse, bien que rendue après le 1 er janvier 2022, porte sur la rente due entre le 1 er février 2015 au 30 novembre 2020, soit une période antérieure aux modifications de la LAI, de sorte que les dispositions légales applicables seront citées dans leur ancienne teneur.</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5.4.1</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w:t>
      </w:r>
    </w:p>
    <w:p>
      <w:r>
        <w:rPr>
          <w:b/>
        </w:rPr>
        <w:t>E. 5.4.2</w:t>
      </w:r>
    </w:p>
    <w:p>
      <w:r>
        <w:t>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 er septembre 2011 consid. 3.3, et les références).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Concrètement, la détermination de l’invalidité se fait en deux temps dans le cadre de la méthode extraordinaire (Circulaire de l'OFAS concernant l'invalidité et l'impotence de l'assurance-invalidité établie [CIIAI], en vigueur jusqu’à 31 décembre 2021,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 accomplissait auparavant d’autres tâches, mieux adaptées au handicap dont il souffre.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L'incidence des empêchements dans les diverses activités sur la capacité de gain peut se déterminer de deux manières différentes : -     Selon la formule suivante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(ch. 3106 CIAII) : Description des activités Pondération sans handicap Pondération avec handicap Revenu en francs Revenu sans handicap Revenu avec handicap … …% …% CHF … CHF … CHF … … …% …% CHF … CHF … CHF … Total 100% …% CHF … CHF … CHF … La détermination du degré d’invalidité s’effectue ensuite de la manière suivante : Revenu sans handicap - Revenu avec handicap Perte de gain liée au handicap Et la perte de gain en % (correspondant à l’invalidité en %) = perte de gain liée au handicap / revenu sans invalidité.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 2.2 ; 9C_394/2009 du 8 janvier 2010 consid. 5.2 ss).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w:t>
      </w:r>
    </w:p>
    <w:p>
      <w:r>
        <w:rPr>
          <w:b/>
        </w:rPr>
        <w:t>E. 5.5</w:t>
      </w:r>
    </w:p>
    <w:p>
      <w:r>
        <w:t>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w:t>
      </w:r>
    </w:p>
    <w:p>
      <w:r>
        <w:rPr>
          <w:b/>
        </w:rPr>
        <w:t>E. 5.6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la chambre de céans a déjà été amenée à deux reprises à se prononcer sur le bien-fondé des décisions que l’intimé a prises suite à la demande de prestations du 24 août 2012. À chaque fois, la décision querellée a été annulée et la cause a été renvoyée à l’intimé ( cf . ATAS/183/2019 du 6 mars 2019 et ATAS/203/2023 du 22 mars 2023) ce dernier étant invité, d’une part, à compléter son instruction en faisant procéder à une expertise pluridisciplinaire et, d’autre part, à calculer le degré d’invalidité du recourant en appliquant la méthode extraordinaire. Suite au dernier renvoi, l’intimé a ordonné une nouvelle expertise, laquelle a été attribuée de manière aléatoire au centre CEMEDEX à Fribourg (lequel avait déjà été mandaté pour l’expertise médicale effectuée suite au premier renvoi). Dans leur rapport du 3 avril 2024, les experts ont notamment conclu, consensuellement, à une capacité de travail nulle depuis octobre 2012 dans l’activité habituelle. Dans une activité adaptée aux limitations fonctionnelles (activité légère), la capacité de travail était nulle d’octobre 2012 à mai 2014, de 40% de juin 2014 à août 2020 et de 35% dès septembre 2020. Retenant les conclusions précitées, l’intimé a appliqué, dans son rapport interne daté du 5 juillet 2024, la méthode extraordinaire de comparaison des revenus, laquelle a mené à un degré d’invalidité compris entre 64% et 67% de juin 2014 à août 2020 et de 80% dès septembre 2020 ( cf . pièce 251, OAI). Dans ses décisions du 15 août 2024, l’intimé a repris les degrés d’invalidité précités et a accordé au recourant un trois quarts de rente pour la période du 1 er février 2015 au 28 février 2019 et celle concernant la période du 1 er mars 2019 au 30 novembre 2020. Par deux autres décisions datées du même jour, l’intimé a mis le recourant au bénéfice d’une rente entière dès le 1 er décembre 2020. C’est contre les deux premières décisions que l’assuré a interjeté recours, contestant les conclusions des experts du CEMEDEX, et, partant, la valeur probante de leur rapport, et considérant, en se référant aux rapports de ses propres médecins traitants, que sa capacité de travail résiduelle était de 30% au maximum, ce qui correspondait, selon lui, à une invalidité de 70% et donnait droit à une rente entière. Le recourant a également remis en question la comparaison des revenus effectuée par l’office intimé, compte tenu de la capacité de travail résiduelle de 30% qu’il invoquant. La question de la valeur probante du rapport du CEMEDEX peut toutefois en l’état rester ouverte, dès lors que même en retenant les conclusions dudit rapport s’agissant de la capacité de travail résiduelle, le recourant a droit à une rente entière comme cela ressort des considérations qui suivent.</w:t>
      </w:r>
    </w:p>
    <w:p>
      <w:r>
        <w:rPr>
          <w:b/>
        </w:rPr>
        <w:t>E. 6.2</w:t>
      </w:r>
    </w:p>
    <w:p>
      <w:r>
        <w:t>À titre liminaire, la chambre de céans relève que l’intimé semble avoir procédé à la comparaison des revenus conformément à la méthode extraordinaire, selon laquelle, il faut se demander, dans un premier temps, quelles activités le recourant est encore en mesure d’effectuer malgré ses atteintes à la santé et d’examiner, dans un second temps, les effets des empêchements sur sa capacité de gain.</w:t>
      </w:r>
    </w:p>
    <w:p>
      <w:r>
        <w:rPr>
          <w:b/>
        </w:rPr>
        <w:t>E. 6.2.1</w:t>
      </w:r>
    </w:p>
    <w:p>
      <w:r>
        <w:t>Dans son rapport d’enquête pour activité professionnelle indépendante du 29 septembre 2021, l’intimé a décrit l’activité du recourant avant et après l’atteinte à la santé. En substance, de 1992 jusqu’à ce qu’il soit atteint dans sa santé, le recourant réparait les bateaux (travaux d’électricité, de plomberie, de menuiserie, de peinture), utilisant différents matériaux (bois, composite, fibres, acier, résine) et outils (ponceuse, poste à souder, visseuse, perceuse). L’activité était saisonnière : de mars à juin, il effectuait l’entretien des bateaux puis les mettait à l’eau avant de les hiverner entre septembre et novembre. Il assurait également un service de dépannage d’urgence sur les bateaux, y compris pendant les jours fériés. Il se déplaçait en Suisse et à l’étranger pour convoyer des bateaux. Parfois, il coordonnait et supervisait des chantiers à l’étranger. Durant l’hiver, il effectuait principalement des travaux de rénovation dans les logements de particuliers. Concrètement, son activité consistait en 20% d’administratif et 80% de chantier, que l’intimé a apprécié comme suit : -          Travaux administratifs (mises à l’enquête pour les travaux dans le domaine du bâtiment, comptabilité, établissement des documents administratifs concernant la gestion de la société [gestion de la clientèle, téléphone, fax, entretien du chantier, établissement de devis et des factures, paiements, surveillance des tâcherons, suivi, coordination]) : 20% soit huit heures par semaine ; -          Travaux sur le chantier naval (maintenance et entretien des bateaux ; réparation et montage ; hivernages) : 65% soit 26 heures par semaine ; -          Entretien de bâtiments (électricité, plomberie, peinture, maçonnerie, menuiserie, etc. ; coordination des différents corps de métiers comme un contremaître) : 15%, soit six heures par semaine La question qui se pose est celle de savoir dans quelle mesure le recourant est encore en mesure d’exercer les tâches précitées compte tenu des atteintes à la santé qu’il présente, étant précisé que leur incidence sur la capacité de travail a été évaluée comme suit par les experts du CEMEDEX ( cf . rapport du 3 avril 2024) : Dans l’activité habituelle Dans une activité adaptée Motivation (diagnostics, limitations fonctionnelles, type d’activité adaptée) Médecine interne 100% 100% -         Pas de limitation en médecine interne générale Gastroentérologie 0% d’octobre 2012 à mai 2014 40% dès juin 2014 0% d’octobre 2012 à mai 2014 40% dès juin 2014 -         Asthénie majeure post-cancer, avec arrêt de l’activité l’après-midi (capacité de travail de 50%). -         L’alimentation doit être flexible et adaptée avec plusieurs petits repas de quantité précise. Les horaires doivent être flexibles pour la prise des repas. Le dumping post-prandial impose une période de repos (-20 de rendement). Neurologie 0% depuis 2013 64% de 2013 à août 2020 56% depuis septembre 2020 -         Activités légères ne nécessitant pas de déplacements sur terrains irréguliers, de monter sur des escabeaux, limitant la marche et le port de charges. -         Perte d’endurance : capacité de travail de 80% dès 2013 et de 70% dès 2020. -         Perte de rendement liée à toute manipulation nécessitant une certaine proprioception (clavier, objets, etc. ; -20% de rendement) Psychiatrie 35% dès septembre 2020 35% dès septembre 2020% -         Fatigue, fatigabilité, difficultés de concentration et d’organisation pouvant mener à des erreurs, diminution de rendement. L’assuré peut se disperser en cas de tâches multiples, difficultés de tolérance au stress et à la pression. De la combinaison des rapports d’enquête pour activité professionnelle indépendante des 29 septembre 2021 et 5 juillet 2024, (doc. 170 et 251, int.) il ressort que l’intimé a retenu que, durant la période litigieuse : -          Le recourant avait progressivement augmenté la partie « administration et gestion » principalement avec la surveillance des travaux des tiers, du chantier de la villa en 2017. L’intimé a donc estimé qu’avec atteinte à la santé, le recourant pouvait effectuer 20 heures de travaux administratifs par semaine, avec une diminution de rendement de 60%. -          L’intimé a toutefois estimé que le recourant ne pouvait plus effectuer de travaux lourds et a retenu une diminution de rendement de 100%. -          Concernant les travaux légers, l’horaire sans handicap était de six heures par semaine et, avec handicap, toujours de six heures par semaine mais désormais avec une diminution de rendement de 60%, le recourant étant encore capable d’effectuer ces petits travaux légers avec l’aide d’une tierce personne. -          S’agissant des travaux de rénovation et d’entretien de bâtiments, le recourant pouvait encore travailler quatre heures par semaine, avec une diminution de rendement de 60% à 80% (le taux variant en fonction du rapport retenu), étant précisé que la rénovation de la villa avait eu lieu en 2017 mais que par la suite, le recourant avait fortement réduit cette activité en fonction de ses limitations fonctionnelles. -          Suite à son atteinte à la santé, le recourant s’occupait de convoyer des bateaux sur le territoire suisse ou à l’étranger et coordonnait des travaux d’entretien. Cette activité était estimée à deux heures par semaine, avec une diminution de rendement de 60%. -          Toujours en raison de son atteinte, le recourant s’était reconverti dans les cours de bateau, activité qui était estimée à quatre heures par semaine, avec une diminution de rendement de 60%. L’intimé a récapitulé ce qui précède dans son document du 5 juillet 2024, dans les deux tableaux suivants : 2014-2018 (sans travaux lourds amis avec bateau-école) : Champs d’activités Horaire sans handicap Horaire avec handicap Baisse de rende-ment Salaire mensuel indexé selon OFS Salaire annuel hyp. sans handicap (en CHF) Salaire annuel hyp. avec handicap (en CHF) Perte écono-mique (en CHF) Administratif 8h00 20h00 60% 6'350.- 15'887.70 15'887.70 0.00 Travaux lourds 20h00 4h00 100% 5'968.- 37'329.85 0.00 37'329.85 Travaux légers 6h00 6h00 60% 5'490.- 10'302.00 4'120.80.- 6'181.20 Entretien 6h00 4h00 60% 5'622.- 10'549.70 2'813.25 7'736.45 Convoyage des bateaux 0h00 2h00 60% 5'295.- 0.00 1'324.80 -1'324.80 Bateaux-école 0h00 4h00 60% 5'555.- 0.00 2'779.70 -2'779.70 Total 40h00 40h00 74'069.25 26'926.25 47'143.00 Perte de gain 64% 2019-2020 (sans travaux lourds et bateau-école) Champs d’activités Horaire sans handicap Horaire avec handicap Baisse de rende-ment Salaire mensuel indexé selon OFS Salaire annuel hyp. sans handicap (en CHF) Salaire annuel hyp. avec handicap (en CHF) Perte écono-mique (en CHF) Administratif 8h00 20h00 60% 6'350.- 15'887.70 15'887.70 0.00 Travaux lourds 20h00 4h00 100% 5'968.- 37'329.85 0.00 37'329.85 Travaux légers 6h00 6h00 60% 5'490.- 10'302.00 4'120.80.- 6'181.20 Entretien 6h00 4h00 60% 5'622.- 10'549.70 2'813.25 7'736.45 Convoyage des bateaux 0h00 2h00 60% 5'295.- 0.00 1'324.80 -1'324.80 Bateaux-école 0h00 4h00 100% 5'555.- 0.00 0.00 0.00 Total 40h00 40h00 74'069.25 26'926.25 49'922.70 Perte de gain 2014-2018 67%</w:t>
      </w:r>
    </w:p>
    <w:p>
      <w:r>
        <w:rPr>
          <w:b/>
        </w:rPr>
        <w:t>E. 6.2.2</w:t>
      </w:r>
    </w:p>
    <w:p>
      <w:r>
        <w:t>La chambre de céans ne saurait toutefois suivre l’intimé et confirmer l’appréciation ci-dessus sur les deux points suivants : -          L’office intimé a retenu que sans invalidité, le recourant consacrait en moyenne six heures par semaine à l’entretien et la rénovation des bâtiments. On peut toutefois douter du fait que de telles activités puissent être considérées comme des activités légères. C’était d’ailleurs également l’avis de l’intimé, dans la mesure où, dans son premier rapport d’enquête, daté du 21 septembre 2021, il avait appliqué une diminution de rendement de 80% tant à l’activité d’entretien et de rénovation des bâtiments qu’à celle sur le chantier naval, ce qui montre que ces deux activités étaient traitées de manière égale et par conséquent considérées comme des activités lourdes. Aussi, le calcul effectué par l’intimé sera-t-il modifié sur ce point, en ce sens que l’activité d’entretien et de rénovation des bâtiments, auparavant exercée à raison de six heures par semaine, est désormais impossible. -          L’intimé a également considéré qu’afin de réduire son dommage suite à son atteinte, le recourant devait réorganiser ses tâches et augmenter la partie administrative de son activité à 20 heures par semaine. La chambre de céans ne saurait suivre l’intimé sur ce point, comme elle l’a déjà relevé dans ses précédents arrêts, dans lesquels elle a expliqué qu’eu égard à la taille de l’entreprise et compte tenu du fait que le recourant ne pouvait plus exercer les travaux lourds liés au chantier naval et à l’entretien des bâtiments, on ne saurait exiger de lui qu’il augmente ses activités administratives. En effet, son activité administrative consistait à des mises à l’enquête pour les travaux dans le domaine du bâtiment, comptabilité, établissement des documents administratifs concernant la gestion de la société (gestion de la clientèle, téléphone, fax, entretien du chantier, établissement de devis et des factures, paiements, surveillance des tâcherons, suivi, coordination). De toute évidence, si les travaux lourds ne peuvent plus être effectués, l’activité administrative y relative, telle que les mises à l’enquête, établissements de devis et de factures, etc., ne peut plus être réalisée non plus. Il n’y a dès lors pas de place pour une augmentation de cette activité, ce que la chambre de céans a déjà eu l’occasion de relever. Aussi, s’il passait huit heures par semaine à effectuer des travaux administratifs avant son atteinte à la santé, seule une capacité de travail de 40% est désormais exigible selon l’expert gastroentérologue depuis juin 2014, ce qui correspond à 3.2 heures hebdomadaires (40% x 8h). Le calcul de l’OAI doit donc être corrigé sur ce point. On peut même se demander si l’activité administrative ne serait pas encore moins importante que les trois heures précitées, dès lors qu’elle ne peut être en lien qu’avec les travaux légers, le convoyage de bateaux et le bateau-école, soit un total de cinq heures par semaine, après prise en considération de la diminution de rendement de 60%. Cette question peut toutefois rester ouverte en l’état, dès lors qu’elle n’a aucune incidence sur l’issue du litige.</w:t>
      </w:r>
    </w:p>
    <w:p>
      <w:r>
        <w:rPr>
          <w:b/>
        </w:rPr>
        <w:t>E. 6.2.3</w:t>
      </w:r>
    </w:p>
    <w:p>
      <w:r>
        <w:t>Selon les indications de l’intimé, les salaires retenus pour la comparaison des revenus ressortent de la tabelle TA1 pour l’année 2018. Dès lors que le droit à la rente est né le 1 er février 2015, l’intimé ne pouvait retenir les données des tabelles éditées en 2018 pour déterminer le degré d’invalidité. En effet, de jurisprudence constante,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Au 1 er février 2015, les indices sur les salaires n’étaient pas encore réévalués. Aussi, il convient de retenir les données statistiques de 2014, sans les indexer. Par ailleurs, depuis 2012, la tabelle TA1 a été remplacée par la tabelle TA1_skill_level ( cf . annexe IV, CIIAI). En prenant les salaires statistiques de 2014, la situation est la suivante : Champs d’activités Horaire (semaine) sans handicap Horaire (semaine) avec handicap (sur une base de 40 h) Salaire annuel hypothétique sans handicap Salaire annuel hypothétique. avec handicap Perte économique (en CHF) Administratif 1 8h00 (20%) 3h00 (7,5%) 15'540.00</w:t>
      </w:r>
    </w:p>
    <w:p>
      <w:r>
        <w:rPr>
          <w:b/>
        </w:rPr>
        <w:t>E. 6.3</w:t>
      </w:r>
    </w:p>
    <w:p>
      <w:r>
        <w:t>Au vu du degré d’invalidité de 81%, c’est une rente entière qui aurait dû être accordée au recourant, de sorte que les décisions querellées doivent être réformées dans ce sens. 7. Reste à déterminer si les intérêts moratoires dus ont été correctement calculés par l’office intimé.</w:t>
      </w:r>
    </w:p>
    <w:p>
      <w:r>
        <w:rPr>
          <w:b/>
        </w:rPr>
        <w:t>E. 7</w:t>
      </w:r>
    </w:p>
    <w:p>
      <w:r>
        <w:t>5'827.50</w:t>
      </w:r>
    </w:p>
    <w:p>
      <w:r>
        <w:rPr>
          <w:b/>
        </w:rPr>
        <w:t>E. 7.1</w:t>
      </w:r>
    </w:p>
    <w:p>
      <w:r>
        <w:t>Depuis le 1 er janvier 2003, l'art. 26 al. 2 LPGA prévoit que des intérêts moratoires sont dus pour toute créance de prestations d'assurances sociales à l'échéance d'un délai de 24 mois à compter de la naissance du droit, mais au plus tôt 12 mois à partir du moment où l'assuré a fait valoir ce droit, pour autant qu'il se soit entièrement conformé à l'obligation de collaborer qui lui incombe. N’ont en revanche pas droit à des intérêts moratoires : a.    la personne ayant droit aux prestations ou ses héritiers, lorsque les prestations sont versées rétroactivement à des tiers ; b.    les tiers qui ont consenti des avances ou provisoirement pris en charge des prestations au sens de l’art. 22 al. 2, et auxquels les prestations accordées rétroactivement ont été cédées ; c.    les autres assurances sociales qui ont provisoirement pris en charge des prestations au sens de l’art. 70. À teneur de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[désormais art. 26 al. 3 LPGA], que sur une partie de la prestation, il sera calculé au moment du paiement sur la prestation entière et sera versé en proportion de la part de prestation sur laquelle les intérêts sont dus par rapport à l’intégralité de la prestation (al. 3). L’obligation de payer des intérêts moratoires selon l’art. 26 al. 2 LPGA commence 24 mois après le droit à la rente en tant que tel pour l’ensemble des prestations courues jusque-là, et non pas deux ans après l’exigibilité de chaque rente mensuelle (ATF 133 V 9 consid. 3.6).</w:t>
      </w:r>
    </w:p>
    <w:p>
      <w:r>
        <w:rPr>
          <w:b/>
        </w:rPr>
        <w:t>E. 7.2</w:t>
      </w:r>
    </w:p>
    <w:p>
      <w:r>
        <w:t>Sont soumises à la perception d’intérêts moratoires uniquement les prestations dont le versement est opéré en mains de l’ayant droit ou de ses héritiers, ou en mains de tiers, dans la mesure où il s’agit de garantir une utilisation conforme au but (ch. 10122 DR). Le ch. 10123 DR reprend et précise l’art. 26 al. 3 LPGA. Ainsi, les intérêts moratoires ne sont pas dus si la personne concernée n’a subi aucun dommage du fait que les prestations en souffrance lui ont été attribuées par d’autres prestataires. Tel est le cas si : -          un tiers (employeur, aide sociale publique ou privée, assureur RC) a effectué des avances moyennant cession des prestations accordées rétroactivement (art. 22 al. 2 LPGA, art. 85bis RAI) -          d’autres assurance sociales (AMal, AA, AM, AC) ont consenti des avances au sens de l’art. 70 LPGA -          des organes d’exécution de l’AVS/AI ou des PC ont consenti des avances. Quant au ch. 10124 DR, il rappelle les principes prévus par l’art. 7 al. 3 OPGA. Ainsi, si le versement rétroactif n’est que partiellement compensé au sens du ch. 10123, les intérêts moratoires sont dus uniquement sur la part versée à l’ayant droit. Il en va de même dans les cas où il existe un lien étroit entre les prestations sous l’angle du droit des assurances sociales. Dès lors, il n’existe aucun droit aux intérêts moratoires pour la part de la rente due qui est compensée avec la créance en restitution. Ils seront calculés au moment du paiement sur la prestation entière et versés en proportion de la part de prestation sur laquelle les intérêts sont dus par rapport à l’intégralité de la prestation (art. 7 al. 3 OPGA). 8. En l’espèce, l’intimé a calculé les intérêts moratoires conformément à ces dispositions, de sorte que sur le principe, aucune critique ne peut être formulée. En revanche, dès lors que la décision attaquée a été réformée en ce sens qu’une rente entière – et non trois quarts de rente – doit être versée au recourant, le montant des intérêts moratoires est incorrect. Par conséquent, la cause sera renvoyée à l’intimé pour nouveau calcul des intérêts moratoires dus sur la base d’une rente d’invalidité entière. 9. Le recours est admis. Les décisions du 15 août 2024 de l’intimé sont réformées, en ce sens que c’est une rente entière qui doit être versée au recourant du 1 er février 2015 au 30 novembre 2020. La cause est renvoyée à l’OAI pour nouveau calcul en ce qui concerne les intérêts moratoires et nouvelle décision. Le recourant obtenant gain de cause, une indemnité de CHF 1'500.- lui sera accordée à titre de participation à ses frais et dépens, à la charge de l’intimé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r>
        <w:rPr>
          <w:b/>
        </w:rPr>
        <w:t>E. 11</w:t>
      </w:r>
    </w:p>
    <w:p>
      <w:r>
        <w:t>9'712.50 Travaux lourds 2 20h00 (50%) 0h00 35'178.00 8 0.00 35'178.00 Travaux légers 3 6h00 (15%) 2h30 (6,25%) 9'702.00 9 4'042.50</w:t>
      </w:r>
    </w:p>
    <w:p>
      <w:r>
        <w:rPr>
          <w:b/>
        </w:rPr>
        <w:t>E. 12</w:t>
      </w:r>
    </w:p>
    <w:p>
      <w:r>
        <w:t>5'659.50 Rénovation et entretien 4 6h00 (15%) 0h00 9'912.60 10 0.00 9'912.60 Convoyage des bateaux 5 0h00 1h00 (2,5%) 0.00 1'515.40</w:t>
      </w:r>
    </w:p>
    <w:p>
      <w:r>
        <w:rPr>
          <w:b/>
        </w:rPr>
        <w:t>E. 13</w:t>
      </w:r>
    </w:p>
    <w:p>
      <w:r>
        <w:t>- 1'515.40 Bateaux-école 6 0h00 1h30 (3,75%) 0.00 2'276.55</w:t>
      </w:r>
    </w:p>
    <w:p>
      <w:r>
        <w:rPr>
          <w:b/>
        </w:rPr>
        <w:t>E. 14</w:t>
      </w:r>
    </w:p>
    <w:p>
      <w:r>
        <w:t>- 2'276.55 Total 40h00 10h30 (26,25%) 70'332.60 13'662.45 56'670.15 Invalidité 80.57%</w:t>
      </w:r>
    </w:p>
    <w:p>
      <w:r>
        <w:rPr>
          <w:b/>
        </w:rPr>
        <w:t>E. 15</w:t>
      </w:r>
    </w:p>
    <w:p>
      <w:r>
        <w:t>Invalidité = (perte de gain / salaire annuel hypothétique sans invalidité) x 100 soit CHF 56'670.15 / CHF 70'332.60 x 100 = 80.57% À noter que l’activité de bateau-école ne peut être prise en considération que jusqu’en 2019. Toutefois, dès lors que même en prenant en considération cette activité, le degré d’invalidité s’élève à 80.57%, arrondi à l’entier le plus proche, qui est 81%, ce qui est supérieur au seuil pour donner droit à une rente entière, il est superflu de refaire le calcul en faisant abstraction de cette 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