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A/3058/2017 vom 16. Januar 2018</w:t>
      </w:r>
    </w:p>
    <w:p>
      <w:r>
        <w:t>GE Cour de justice, 2018-01-16, FR</w:t>
      </w:r>
    </w:p>
    <w:p>
      <w:r>
        <w:rPr>
          <w:b/>
        </w:rPr>
        <w:t xml:space="preserve">Quelle: </w:t>
      </w:r>
      <w:r>
        <w:t>https://mcp.opencaselaw.ch/entscheid/ge_gerichte_A_3058_2017</w:t>
      </w:r>
    </w:p>
    <w:p>
      <w:r>
        <w:t>FR: GE_GERICHTE A/3058/2017 du 16 janvier 2018</w:t>
      </w:r>
    </w:p>
    <w:p>
      <w:r>
        <w:t>IT: GE_GERICHTE A/3058/2017 del 16 gennaio 2018</w:t>
      </w:r>
    </w:p>
    <w:p>
      <w:pPr>
        <w:pStyle w:val="Heading2"/>
      </w:pPr>
      <w:r>
        <w:t>Erwägungen</w:t>
      </w:r>
    </w:p>
    <w:p>
      <w:r>
        <w:rPr>
          <w:b/>
        </w:rPr>
        <w:t>E. 1</w:t>
      </w:r>
    </w:p>
    <w:p>
      <w:r>
        <w:t>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w:t>
      </w:r>
    </w:p>
    <w:p>
      <w:r>
        <w:rPr>
          <w:b/>
        </w:rPr>
        <w:t>E. 2</w:t>
      </w:r>
    </w:p>
    <w:p>
      <w:r>
        <w:t>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w:t>
      </w:r>
    </w:p>
    <w:p>
      <w:r>
        <w:rPr>
          <w:b/>
        </w:rPr>
        <w:t>E. 3</w:t>
      </w:r>
    </w:p>
    <w:p>
      <w:r>
        <w:t>La majorité de l'enfant ne modifie pas le mode de versement appliqué jusque-là, sauf si l'enfant majeur demande que la rente pour enfant lui soit versée directement. Toute décision contraire du juge civil ou de l'autorité tutélaire est réservée ». Pour que la rente pour enfant soit versée sur demande au parent qui n'est pas titulaire de la rente principale, il suffit que les parents de l’enfant ne soient pas ou plus mariés ensemble ou qu’ils vivent séparés (al. 1, let. a), étant entendu que dans cette dernière hypothèse une séparation de fait au sens de l’art. 30bis RAI suffit. Par ailleurs, l’enfant doit vivre avec le parent non rentier et ce dernier doit également détenir l’autorité parentale. À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 6.        En l'espèce, le juge du Tribunal de Grande Instance de Thonon-les-Bains a constaté, le 14 mars 2017, que l’autorité parentale était exercée, de plein droit, par les deux parents, a attribué la garde des enfants au père, et astreint l’assurée au paiement d'une pension alimentaire de 150.- euros par mois et par enfant. Il n’a par ailleurs pas prévu de garde partagée, ainsi que le soutient l’assurée.![endif]&gt;![if&gt; Il est vrai que l’assurée a produit le certificat de domicile délivré à C______ par l’OCPM, confirmant que celui-ci était arrivé à Genève le 15 septembre 2010 et vivait avec elle à la rue E_____ ______ depuis le 11 novembre 2016. Ce certificat a toutefois été établi le 30 janvier 2017, soit avant que le jugement du Tribunal de Grande Instance de Thonon-les-Bains ait été rendu. Il est à cet égard utile de relever que l’OCPM a rectifié l’inscription concernant C______, en ce sens qu’il est dorénavant indiqué que celui-ci est reparti à Viry (France) le 14 mars 2017. Au vu de ce qui précède, le recours ne peut être que rejeté et la décision du 3 juillet 2017, selon laquelle les rentes complémentaires pour enfants sont dorénavant versées au père à compter du 1 er juillet 2017, est confirmée.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