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A/3056/2021 vom 13. Juni 2023</w:t>
      </w:r>
    </w:p>
    <w:p>
      <w:r>
        <w:t>GE Cour de justice, 2023-06-13, FR</w:t>
      </w:r>
    </w:p>
    <w:p>
      <w:r>
        <w:rPr>
          <w:b/>
        </w:rPr>
        <w:t xml:space="preserve">Quelle: </w:t>
      </w:r>
      <w:r>
        <w:t>https://mcp.opencaselaw.ch/entscheid/ge_gerichte_A_3056_2021</w:t>
      </w:r>
    </w:p>
    <w:p>
      <w:r>
        <w:t>FR: GE_GERICHTE A/3056/2021 du 13 juin 2023</w:t>
      </w:r>
    </w:p>
    <w:p>
      <w:r>
        <w:t>IT: GE_GERICHTE A/3056/2021 del 13 giugno 2023</w:t>
      </w:r>
    </w:p>
    <w:p>
      <w:pPr>
        <w:pStyle w:val="Heading2"/>
      </w:pPr>
      <w:r>
        <w:t>Erwägungen</w:t>
      </w:r>
    </w:p>
    <w:p>
      <w:r>
        <w:rPr>
          <w:b/>
        </w:rPr>
        <w:t>E. 4</w:t>
      </w:r>
    </w:p>
    <w:p>
      <w:r>
        <w:t>Il convient encore d’examiner si le renvoi prononcé par l’OCPM est fondé.![endif]&gt;![if&gt;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4.2</w:t>
      </w:r>
    </w:p>
    <w:p>
      <w:r>
        <w:t>En l'espèce, dès lors qu'il a, à juste titre, refusé l’octroi d’une autorisation de séjour aux recourants, l'intimé devait prononcer leur renvoi. Aucun élément ne permet de retenir que leur renvoi ne serait pas possible, licite ou ne pourrait raisonnablement être exigé ; de tels éléments ne ressortent pas non plus du dossier.![endif]&gt;![if&gt; Mal fondé, le recours sera rejeté.</w:t>
      </w:r>
    </w:p>
    <w:p>
      <w:r>
        <w:rPr>
          <w:b/>
        </w:rPr>
        <w:t>E. 5</w:t>
      </w:r>
    </w:p>
    <w:p>
      <w:r>
        <w:t>Vu l'issue du litige, un émolument de CHF 400.- sera mis à la charge de la recourante et aucune une indemnité de procédure ne sera allouée (art. 87 LPA).![endif]&gt;![if&gt;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