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A/3054/2019 vom 29. Oktober 2020</w:t>
      </w:r>
    </w:p>
    <w:p>
      <w:r>
        <w:t>GE Cour de justice, 2020-10-29, FR</w:t>
      </w:r>
    </w:p>
    <w:p>
      <w:r>
        <w:rPr>
          <w:b/>
        </w:rPr>
        <w:t xml:space="preserve">Quelle: </w:t>
      </w:r>
      <w:r>
        <w:t>https://mcp.opencaselaw.ch/entscheid/ge_gerichte_A_3054_2019</w:t>
      </w:r>
    </w:p>
    <w:p>
      <w:r>
        <w:t>FR: GE_GERICHTE A/3054/2019 du 29 octobre 2020</w:t>
      </w:r>
    </w:p>
    <w:p>
      <w:r>
        <w:t>IT: GE_GERICHTE A/3054/2019 del 29 ottobre 2020</w:t>
      </w:r>
    </w:p>
    <w:p>
      <w:pPr>
        <w:pStyle w:val="Heading2"/>
      </w:pPr>
      <w:r>
        <w:t>Erwägungen</w:t>
      </w:r>
    </w:p>
    <w:p>
      <w:r>
        <w:rPr>
          <w:b/>
        </w:rPr>
        <w:t>E. 1</w:t>
      </w:r>
    </w:p>
    <w:p>
      <w:r>
        <w:t>er janvier 2013 au 31 décembre 2014 et lui a réclamé la somme de CHF 33'475.40, frais d'administration compris. Le même jour, elle a rendu une seconde décision par laquelle elle a réclamé à la société des intérêts moratoires AVS pour les cotisations des années 2013 et 2014, soit la somme de CHF 7'409.25. 19.    En date du 28 janvier 2019, la société a formé opposition à l'encontre des décisions du 6 décembre 2018, en tant que la caisse avait retenu le statut de « salarié » pour l'avocat. À titre préalable, elle a sollicité la confirmation, voire la restitution, de l'effet suspensif à la procédure d'opposition, la suspension de l'instruction de la cause jusqu'à droit jugé dans le cadre de la procédure d'instruction visant la période 2010 à 2012, et la jonction des deux procédures. Elle a rappelé que la procédure d'instruction supplémentaire suite à l'arrêt du 18 mai 2016 était encore pendante et qu'il n'y avait plus eu aucun échange d'écritures entre les parties depuis le 31 octobre 2018. Principalement, elle a conclu à l'annulation des décisions du</w:t>
      </w:r>
    </w:p>
    <w:p>
      <w:r>
        <w:rPr>
          <w:b/>
        </w:rPr>
        <w:t>E. 6</w:t>
      </w:r>
    </w:p>
    <w:p>
      <w:r>
        <w:t>décembre 2018, et à ce qu'il soit dit et constaté que l'avocat était demeuré indépendant. 20.    Le 4 février 2019, la caisse a indiqué à la société que, suite au contrôle AVS du 18 juin 2018, elle avait procédé aux reprises des salaires pour les années 2013 et 2014 afin de préserver ses droits, les cotisations de 2013 auraient en effet été prescrites fin 2018. Dès lors que l'opposition portait sur le même litige que pour les années 2010 à 2012, elle proposait de joindre les causes et de se déterminer dans une seule décision sur opposition. Elle a confirmé à la société que l'opposition avait un effet suspensif, mais qu'elle ne suspendrait pas le cours des intérêts moratoires. 21.    Par décision sur opposition du 20 juin 2019, la caisse a confirmé ses décisions des contrôles d'employeur des 30 avril 2014 et 6 décembre 2018, et rejeté les oppositions de la société. Elle a ainsi statué sur les rémunérations versées à l'avocat, reprises à titre de salaires, pour la période courant du 15 juillet 2010 au 31 décembre 2014. Elle a indiqué qu'elle était parvenue à la conclusion que l'activité de l'avocat était imbriquée d'une telle manière dans celle de la société qu'il fallait en déduire que les rémunérations qui lui parvenaient par cette dernière devaient être considérées comme provenant d'une activité dépendante. L'activité de l'avocat présentait les sept caractéristiques suivantes d'une activité dépendante : tout d'abord, l'avocat apportait les clients à la société et la procuration que ceux-ci signaient prévoyait qu'ils donnaient pouvoir à la société mandataire et à l'avocat ; deuxièmement, ce dernier établissait d'un commun accord avec le client la stratégie du dossier et donnait par la suite les instructions nécessaires aux divers intervenants de la société ; troisièmement, si nécessaire, l'avocat assistait personnellement les clients ; quatrièmement, c'était lui qui signait pour la société les contrats de travail avec les avocats travaillant pour la société ; cinquièmement, l'avocat occupait des espaces dans les locaux de la société, ce qui était un élément démontrant qu'il était intégré aux affaires et au fonctionnement de la société et qu'il pouvait surveiller les activités, indépendamment du fait qu'il était lui-même propriétaire des locaux ; à cet égard, il était également relevé que les comptes de la société indiquaient que cette dernière payait un petit loyer et qu'elle supportait des charges importantes liées à la location, charges cinq fois plus importantes que le montant du loyer, ce qui démontrait qu'il y avait un amalgame entre l'activité de la société et celle de l'avocat ; sixièmement, l'avocat n'avait que peu de frais professionnels, selon ses comptes, alors qu'une activité d'avocat indépendant en justifiait un certain nombre ; enfin, l'avocat n'avait personnellement pas conclu un contrat d'assurance responsabilité civile professionnelle, mais uniquement la société, ce qui démontrait que toute son activité professionnelle se déroulait sous l'égide de la société ; vis-à-vis des tiers, ce n'était que la société qui était responsable, même si l'avocat pourrait selon le contrat de fiducie voir théoriquement sa responsabilité engagée en cas de défaut de couverture. En conclusion, l'avocat devait être considéré comme étant celui qui prenait les décisions importantes dans la société et qui donnait les ordres aux avocats et au personnel travaillant pour la société. Il tenait dès lors le rôle d'un associé auquel le personnel de la société était en réalité subordonné. Les autres avocats associés étaient salariés de la société. L'avocat devait dès lors lui aussi être considéré comme salarié de la société, en plus avec une fonction dirigeante. Toutes les rémunérations touchées par l'avocat devaient être déclarées par la société comme du salaire déterminant AVS. 22.    Par acte du 22 août 2019, la société, représentée par un mandataire, a interjeté recours contre la décision précitée. Elle a conclu, sous suite de frais et dépens, préalablement, à la comparution de l'avocat et à l'apport de la procédure A/1527/2015. Principalement, elle a conclu à l'annulation de la décision attaquée et à ce qu'il soit dit et constaté que l'avocat exerçait son activité professionnelle de manière indépendante et ce, séparément de la société, subsidiairement, au renvoi de la cause à l'intimée pour nouvelle décision. S'agissant de la qualification de l'activité, la recourante a soutenu que l'activité développée par l'avocat dans le cadre de sa raison individuelle correspondait à la fourniture de prestations juridiques, mais également à d'autres activités relevant notamment du domaine et du droit immobilier, de sorte qu'il n'était pas dans la situation d'un salarié qui ne pouvait, selon la jurisprudence, exercer une autre activité lucrative. En outre, il n'était astreint, par la recourante, à aucun horaire défini, dans la mesure où l'activé variait et pouvait s'exercer dans les tranches horaires de 7h à 21h. En tant que mandataire de ses clients, l'avocat donnait des instructions nécessaires à la société et aux employés de celle-ci. Ce n'était donc pas lui qui dépendait de la société, mais cette dernière qui dépendait de lui. Concernant le risque économique de l'entrepreneur, la recourante a relevé que c'était l'avocat qui apportait les mandats et que son rôle à elle était de les gérer en son nom, mais aux risques de l'avocat. Elle ne détenait aucune clientèle lors de sa constitution et n'avait pas de clientèle propre. Elle avait justement été constituée dans le but de s'occuper de la clientèle de l'avocat, conformément à la convention de fiducie. Le fait que l'avocat donnait, dans le cadre des dossiers pour lesquels il était constitué, les instructions nécessaires aux intervenants « employés » de la société était, à l'évidence, un indice que ce dernier n'était pas soumis à un lien de dépendance avec la recourante, auquel cas ce serait cette dernière qui lui donnerait des instructions et non l'inverse. La société agissait à l'évidence en son nom, mais pour le compte exclusif de l'avocat. Le fait que ce dernier assiste personnellement des clients dans le cadre de certaines procédures ne permettait pas non plus d'inférer que celui-ci soit employé de la recourante, mais relevait simplement de son activité d'avocat, de sorte que cet argument était sans pertinence dans le cas d'espèce. Il était souligné en outre que l'avocat ne recevait jamais une quelconque instruction de la société. S'agissant des locaux, l'avocat était copropriétaire et il paraissait donc naturel qu'il puisse y occuper des espaces. En réalité, lors des périodes concernées, les locaux appartenaient en copropriété à l'avocat et il mettait une partie de ceux-ci à disposition de la société, laquelle gérait la clientèle. L'avocat déployait également une activité en dehors des locaux de la société, en rencontrant des clients à l'extérieur et en travaillant depuis son domicile, de sorte que l'argument de l'intimée ne permettait pas de considérer que l'intéressé dépendait de la structure organisationnelle, soit les infrastructures de la recourante pour exercer son activité professionnelle. L'argument quant aux frais professionnels n'était pas convaincant non plus, car ces frais n'étaient pas comptabilisés par l'avocat mais par la recourante qui agissait à titre fiduciaire. L'appréciation de l'intimée semblait d'autant plus insoutenable au regard des pièces produites par la recourante, plus particulièrement ses comptes. En effet, il était établi et non contesté que l'avocat était non seulement son administrateur unique, mais aussi son unique actionnaire. Or, il ressortait de ses bilans qu'elle avait, envers son actionnaire, une dette de CHF 981'268.69 en 2011 et de CHF 1'044'700.41 en 2012. Le compte courant actionnaire démontrait ainsi à lui tout seul les importants investissements que l'avocat avait faits dans la société et que c'était bien lui qui assumait le risque économique entrepreneurial. Quant au dernier argument de l'intimée, la recourante a relevé que l'activité de l'avocat était déployée au seul risque et profit de celui-ci. Il supportait donc seul le risque économique au titre de la convention fiduciaire. Le fait que l'assurance responsabilité civile ait été conclue par la société uniquement répondait à des préoccupations de minimisation des coûts et au fait que la société avait été constituée justement pour assumer la responsabilité vis-à-vis des tiers. L'analyse de l'intimée s'avérait donc erronée. L'avocat avait constitué une structure juridique afin que celle-ci gère sa clientèle. La recourante agissait comme une société de « factoring » et la réalité économique démontrait que l'avocat était le seul qui assumait les principaux risques économiques et entrepreneuriaux. La recourante était dépendante de l'avocat, dans la mesure où si ce dernier décidait d'arrêter son activité, elle ne pourrait continuer dans cette même constellation. L'inverse n'était simplement pas réaliste. La question aurait été différente si la recourante avait eu plusieurs actionnaires, car dans une telle hypothèse, on aurait pu légitimement se demander si l'activité de l'avocat vis-à-vis des autres actionnaires ne pouvait pas être qualifiée de dépendante. Cela étant, dans la situation existante aux périodes litigieuses, l'avocat était l'unique actionnaire et par conséquent, il assumait seul le bon développement de son activité et celle de la recourante. L'avocat ne devait donc pas être considéré comme un employé de la recourante, mais comme un indépendant, ce qu'il avait toujours été depuis qu'il avait débuté sa carrière d'avocat. 23.    Dans sa réponse du 23 septembre 2019, l'intimée a conclu à la confirmation de la décision entreprise. Elle a notamment souligné que l'avocat apportait la clientèle à la recourante, qui traitait les dossiers et facturait les clients, étant précisé que les revenus provenant d'apports d'affaires réguliers étaient d'ailleurs en principe considérés en droit AVS comme des revenus d'une activité dépendante. En outre, l'avocat donnait des instructions au personnel de la recourante et participait en tant qu'avocat au traitement des dossiers, étant relevé que les procurations des clients portaient le nom de la recourante, mais également celui de l'avocat. La responsabilité professionnelle était couverte par une assurance responsabilité civile au nom de la recourante et l'avocat était copropriétaire des locaux qu'il louait à la société, où il avait son propre bureau. Ainsi, même si l'avocat était l'actionnaire unique de la recourante, il devait être considéré comme salarié de cette structure. Il dirigeait en fait la recourante, signait des contrats de travail au nom de celle-ci, décidait de la stratégie dans le traitement des dossiers qu'il apportait à la recourante et intervenait lui-même dans certains dossiers. 24.    Le 29 novembre 2019, la recourante a intégralement persisté dans ses écritures et conclusions. 25.    Le 12 août 2020, la chambre de céans a demandé à la recourante de lui tenir copie du registre des actionnaires, des procès-verbaux des assemblées générales pour les années 2012 à 2019, ainsi que la liste des participants et montants de leur participation, pour les années 2012 à 2019, pour autant que des bons de participation aient été émis. 26.    En date du 11 septembre 2020, la recourante a produit copie du registre actionnaires au 2 septembre 2020, duquel il ressort que l'avocat est son unique actionnaire. Pour le surplus, elle a demandé à la chambre de céans de lui confirmer que les autres informations sollicitées se rapportaient aux années 2010 à 2014, objets des contrôles. 27.    Le 14 septembre 2020, la chambre de céans a maintenu sa demande et accordé un délai à la recourante au 28 septembre 2020 pour lui communiquer les autres documents déjà sollicités. 28.    La recourante ne s'étant pas exécutée ni n'ayant sollicité le report du délai,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Les délais en jours ou en mois fixés par la loi ou par l'autorité ne courent pas du 15 juillet au 15 août inclusivement (art. 38 al. 4 let. b LPGA et 89C let. b LPA-GE). Interjeté dans la forme et le délai prévus par la loi, le recours interjeté le 22 août 2019 contre la décision expédiée le 20 juin 2019, reçue le lendemain, est recevable, compte tenu de la suspension du délai précitée. 4.        Le litige porte sur la question de savoir si la société est tenue à cotisations sociales sur les rémunérations versées à l'avocat entre le 15 juillet 2010 et le 31 décembre 2014, respectivement si celles-ci sont dues pour une activité salariée ou indépendante. 5.        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En l'espèce, la situation juridique de l'avocat en tant que salarié potentiel est indéniablement susceptible d'être affectée par l'issue de la présente procédure. La chambre de céans renoncera toutefois à l'appeler en cause, dès lors que l'intéressé est l'actionnaire unique et l'administrateur unique de la recourante. 6.        a. Selon l'art. 3 al. 1, 1 ère phrase,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 Durant la période litigieuse, ces cotisations s'élevaient respectivement à 4.2% du revenu provenant d'une activité dépendante, auxquels s'ajoutaient les cotisations d'employeurs de 4.2% également, et en principe de 7.8% du revenu provenant d'une activité indépendante (cf. art. 5 al. 1, 8 al. 1 et 13 LAVS dans leurs teneurs en vigueur jusqu'au 31 décembre 2019). b. Conformément à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des assurances H 2/06 du 10 avril 2006 consid. 6). L'art. 7 du règlement sur l'assurance-vieillesse et survivants du 31 octobre 1947 (RAVS - RS 831.101)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 (let. c), les tantièmes, les indemnités fixes et les jetons de présence des membres de l'administration et des organes dirigeants des personnes morales (let. h). c. Selon l'art. 9 al. 1 LAVS, le revenu provenant d'une activité indépendante comprend tout revenu du travail autre que la rémunération pour un travail accompli dans une situation dépendante.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7.        a.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des assurances H 6/05 du 19 mai 2006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RCC 1986 p. 651 consid. 4c ;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 arrêt du Tribunal fédéral des assurances H 334/03 du 10 janvier 2005 consid. 6.2.1). En outre, la possibilité pour le travailleur d'organiser son horaire de travail ne signifie pas nécessairement qu'il s'agit d'une activité indépendante (ATF 122 V 169 consid. 3a ; arrêt du Tribunal fédéral 9C_460/2015 du 18 novembre 2015 consid. 3.2 et les références).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9C_624/2011 du 25 septembre 2012 consid. 2.2, 9C_1062/2010 du 5 juillet 2011 consid. 7.3 et les références ; voir aussi ATF 119 V 161 consid. 3b).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 b. 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ATF 119 V 161 consid. 3c ; ATF 104 V 126 consid. 3b). En effet, la loi ne prévoit pas d'évaluation globale en fonction de la signification économique des différentes activités. Ainsi, un assuré peut être qualifié simultanément de personne exerçant une activité salariée pour un travail et indépendante pour la même entreprise ou pour un autre travail (cf. arrêt du Tribunal fédéral 9C_219/2009 du 21 août 2009 consid. 4.4). Le fait qu'une personne tenue à cotisations soit déjà affiliée à une caisse de compensation en tant qu'indépendante n'a aucune signification pour la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c.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(RCC 1983 p. 22 consid. 2). C'est le cas même si les indemnités sont proportionnelles à l'activité et à l'état des affaires (RCC 1952 p. 272).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(arrêt du Tribunal fédéral 9C_727/2014 du 23 mars 2015 consid. 4.1 et la référence citée). Un assuré, qui a la qualité d'organe d'une personne morale, peut, en même temps, avoir vis-à-vis de la société le statut de salarié comme celui d'indépendant. Ainsi, par exemple, l'avocat qui mène un procès pour une société anonyme dont il est l'administrateur. S'il agit en qualité de tiers vis-à-vis de la société, le gain découlant d'une telle activité se caractérise comme un revenu d'une activité indépendante. Pour qualifier l'indemnité, il faut se demander si l'activité pour laquelle celle-ci est versée est liée à la qualité d'organe de la société, ou si elle aurait pu être exercée tout aussi bien indépendamment de cette fonction (ATF 105 V 113 ; RCC 1983 p. 22 ; RCC 1980 p. 207). d. Lorsque l'organe dirigeant exerce son activité à titre principal, le critère décisif en faveur du contrat de travail est le rapport de subordination, l'intéressé étant alors soumis à des instructions, par exemple du conseil d'administration. Par définition, il n'existe aucun rapport de subordination lorsqu'il y a identité économique entre la personne morale et son organe dirigeant ; un contrat de travail ne saurait ainsi lier une société anonyme et son actionnaire et administrateur unique. Seul l'examen de l'ensemble des circonstances du cas concret permet de déterminer si l'activité en cause est exercée de manière dépendante ou indépendante (arrêt du Tribunal fédéral 4A_10/2017 du 19 juillet 2017 consid. 3.1 et les références). e. Les tâcherons et sous-traitants sont réputés exercer une activité dépendante, mais ce principe souffre toutefois des exceptions.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 arrêt du Tribunal fédéral des assurances H 169/04 du 21 avril 2005 consid. 4.4). 8.        a. Selon l'art. 12 de la loi fédérale sur la libre circulation des avocats du 23 juin 2000 (LLCA - RS 935.61), l'avocat est soumis notamment aux règles suivantes : il exerce son activité professionnelle en toute indépendance, en son nom personnel et sous sa propre responsabilité (let. b), il doit être au bénéfice d'une assurance responsabilité civile professionnelle offrant une couverture adaptée à la nature et à l'étendue des risques liés à son activité ; la somme couvrant les événements dommageables pour une année doit s'élever au minimum à un million de francs ; des sûretés équivalentes peuvent remplacer l'assurance responsabilité civile (let. f). b. S'agissant des SA d'avocats, dans un arrêt de principe (ATF 138 II 440 ss traduit au JdT 2013 I 103ss), le Tribunal fédéral a précisé que l'art. 12 let. b LLCA selon lequel l'avocat exerce son activité « en son nom personnel » ne vise pas le rapport contractuel avec le client, mais seulement le statut professionnel de l'avocat exécutant le mandat. Celui-ci agit en son nom personnel, même s'il se trouve dans une relation d'emploi, en tant qu'il exécute le mandat sous sa propre responsabilité professionnelle et doit lui-même respecter les règles professionnelles spécifiques. Il en conclut que l'art. 12 let. b LLCA n'empêche pas l'attribution de mandats à des sociétés d'avocats avec personnalité (consid. 19). Pour les mêmes motifs, l'art. 12 let. b LLCA exigeant que l'avocat exerce sous sa propre responsabilité n'exclut pas qu'une étude d'avocats soit constituée en société avec personnalité, car cette règle ne se rapporte qu'à la responsabilité de respecter les règles professionnelles. Elle n'exige pas une responsabilité personnelle de l'avocat sur le plan civil. L'obligation professionnelle de souscrire une assurance responsabilité civile montre que le législateur attache plus d'importance à la garantie d'une capacité de dédommagement suffisante qu'à la responsabilité personnelle illimitée de l'avocat, le risque de faillite étant réduit par la souscription d'une telle assurance. Le Tribunal fédéral en déduit que la réduction de responsabilité qui est sans doute recherchée lors du choix de constituer une société avec personnalité n'est pas de nature à amenuiser le sens des responsabilités des avocats (consid. 20). En définitive, les devoirs de l'avocat n'excluent pas qu'un avocat soit l'employé d'une personne morale entièrement dominée par des avocats inscrits au registre des avocats (consid. 17 et 21). 9.        a. Les principes jurisprudentiels précités sont rappelés dans les Directives sur le salaire déterminant dans l'AVS, AI et APG (ci-après : DSD, état au 1 er janvier 2019), lesquels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(ch. 1023 DSD). On peut donner la prépondérance soit au critère risque économique, soit à celui du rapport de dépendance, ou à leurs manifestations respectives, suivant les circonstances particulières de chaque cas (ch. 1024 DSD). Lors de l'appréciation d'un cas particulier, les critères suivants ne sont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décisif (ch. 1031 DSD). -          Les conventions ou accords portant sur la situation juridique AVS des parties (salariée ou indépendante) ou sur la qualification juridique d'une rétribution dans l'AVS (ch. 1032 DSD). -          Que l'intéressé exerce son activité à titre de profession principale ou accessoire et quelle est la profession principale de l'assuré. La rétribution qu'il s'agit de qualifier doit au contraire être considérée pour elle-même, c'est-à-dire être qualifiée d'après la situation dans laquelle l'assuré se trouve au moment même où il acquiert cette rétribution. Certaines rétributions peuvent ainsi faire partie du salaire déterminant même si elles sont attribuées à une personne dont la profession principale consiste en l'exercice d'une activité indépendante (ch. 1033 DSD). -          Le fait qu'un assuré soit affilié à une caisse de compensation en qualité de travailleur indépendant. La rétribution peut néanmoins faire partie du salaire déterminant (ch. 1034 DSD). -          Le fait qu'un salarié travaille simultanément pour plusieurs employeurs. Il n'en devient pas pour autant un assuré ayant une activité indépendante (ch. 1035 DSD). -          Le fait qu'un assuré se trouve, par rapport à une personne, déjà dans une situation indépendante ou dépendante. On ne peut simplement se baser sur le critère qui prédominerait dans l'activité prise dans son ensemble. Au contraire, un assuré peut, par rapport à une seule et même personne, se trouver simultanément dans une situation indépendante et dépendante. Ainsi, par exemple, l'entrepreneur, membre du conseil d'administration d'une société anonyme pour laquelle il effectue des travaux de construction ; de même, l'avocat qui mène un procès pour une société anonyme dont il est l'administrateur ou la médiamaticienne qui exerce une activité accessoire de journaliste en publiant dans la maison d'édition au service de laquelle elle se trouve (ch. 1036 DSD). -          Que la rémunération soit versée à titre volontaire ou en vertu d'une obligation légale ou contractuelle (ch. 1037 DSD). -          La qualification attribuée à tel ou tel revenu par l'autorité fiscale. En effet, le droit fiscal ne fait en principe pas la distinction entre le revenu de l'activité indépendante et celui de l'activité salariée. Seule l'application des règles, développées par la jurisprudence du Tribunal fédéral, concernant la double imposition intercantonale peut dans certains cas impliquer la nécessité de rechercher si le contribuable se trouve dans un rapport de subordination envers un tiers. Mais la réponse donnée à cette question par les règles destinées à éliminer les cas de double imposition n'est pas contraignante en matière d'AVS (ch. 1038 DSD). Un assuré qui a la qualité d'organe d'une personne morale peut, en même temps, avoir vis-à-vis de la société le statut de salarié comme celui d'indépendant (ainsi par exemple le constructeur indépendant,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 2057 DSD). b. Selon les Directives de l'Office fédéral des assurances sociales sur les cotisations des travailleurs indépendants et des personnes sans activité lucrative dans l'AVS, AI et APG (ci-après : DIN, état au 1 er janvier 2019), sont en premier lieu considérés comme travailleurs indépendants les propriétaires d'une entreprise, d'une exploitation ou d'un commerce (ch. 1005 DIN).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(ch. 1014 DIN). 10.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ss consid. 3.2 et 3.3). Aussi n'existe-t-il pas, en droit des assurances sociales, un principe selon lequel l'administration ou le juge devrait statuer, dans le doute, en faveur de l'assuré (ATF 126 V 319 consid. 5a). b. 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arrêt du Tribunal fédéral 9C_632/2012 du 10 janvier 2013 consid. 6.2.1). c. La loi genevoise du 12 septembre 1985 sur la procédure administrative (LPA), qui s'applique à la prise de décision par la chambre des assurances sociales de la Cour de justice (art. 1 en liaison avec l'art. 6 al. 1 let. d LPA), contient des dispositions en ce qui concerne la coopération des parties et le droit d'être entendu. Selon l'art. 22 LPA, les parties sont tenues de collaborer à la constatation des faits dans les procédures qu'elles introduisent elles-mêmes, dans celles où elles y prennent des conclusions indépendantes ainsi que dans les autres cas prévus par la loi. 11.    a. En l'espèce, la chambre de céans rappelle en préambule que la recourante fait grief à l'intimée d'avoir retenu que les montants qu'elle verse à l'avocat via son compte sous-traitant constituent un revenu provenant d'une activité lucrative dépendante qui doit être soumis aux cotisations sociales paritaires. Elle fait valoir que l'avocat est son administrateur et actionnaire unique et qu'ils ne sont liés par aucun contrat de travail. Comme son administrateur n'est soumis à aucun rapport de subordination et n'est pas dépendant d'elle sur le plan économique, elle en déduit qu'il exerce une activité indépendante et ne saurait être considéré comme un travailleur salarié. Pour sa part, l'intimée considère que l'avocat est administrateur et avocat collaborant dans la société tout en continuant à exercer en parallèle une certaine activité d'avocat indépendant. Au vu des instructions qu'il donne aux collaborateurs, il en est le supérieur hiérarchique, soit un salarié de la société s'agissant des revenus résultant des mandats gérés par celle-ci qui doivent être déclarés dans le cadre de la SA. b. La chambre de céans relève ensuite que la recourante est une société anonyme ayant pour but de fournir des prestations juridiques par des avocats et par des conseillers qualifiés. Elle a été créée par l'avocat en été 2010, et celui-ci est, depuis lors, son administrateur unique avec signature individuelle et il détient toutes les actions nominatives (cf. extrait du Registre du commerce et copie du registre des actionnaires au 2 septembre 2020). Parallèlement, il exerce la profession d'avocat. Il sied dès lors d'opérer une distinction entre les activités qui sont effectuées par l'avocat, en sa qualité d'organe dirigeant de la recourante et celles qui auraient pu également être exercées par celui-ci, indépendamment de cette fonction. En effet, l'avocat peut être considéré comme dépendant pour les indemnités qu'il touche en tant que membre du conseil d'administration de la recourante et comme indépendant pour les rémunérations qui n'ont aucune relation directe avec cette fonction, mais qui lui sont versées à titre d'honoraires pour ses activités d'avocat qu'il aurait traitées sans être membre dudit conseil. 12.    a. En l'occurrence, il y a identité économique complète entre la recourante et l'avocat, ce qui permet d'exclure tout rapport de subordination entre eux. Il est donc normal que l'avocat puisse s'organiser comme il le souhaite et ne reçoive aucune instruction de la part de la recourante, puisqu'il agit seul dans la société et ne saurait se donner des instructions à lui-même. Étant précisé que le critère du lien de subordination relève du droit civil et n'est donc pas déterminant en droit des assurances sociales. b. En ce qui concerne le risque économique, il sied de relever que le métier d'avocat indépendant requiert certaines infrastructures, dont l'utilisation de locaux professionnels, et que le recours à du personnel, à tout le moins administratif, en facilite grandement l'activité. D'ailleurs, les contrats de travail conclus entre la recourante et les avocats collaborateurs prévoient clairement que ces derniers bénéficient d'un bureau entièrement équipé, qu'ils ont droit au remboursement de dépenses professionnelles, qu'ils peuvent recourir à l'assistance du personnel de l'Étude et à celle des stagiaires. Or, dans le cas présent, l'avocat n'emploie pas de personnel, contrairement à la recourante qui engage et paye les salaires des collaborateurs, des stagiaires et des secrétaires. De plus, l'avocat occupe un bureau dans les locaux de la recourante, dont il est lui-même propriétaire. Selon ses comptes, il n'assume aucune charge liée à l'utilisation de ces locaux commerciaux, alors que les comptes de pertes et profits de la recourante révèlent que cette dernière lui verse un loyer - en tant que bailleur - et s'acquitte de toutes les charges locatives et des frais d'entretien. En outre, l'avocat n'assume pas les frais de communication ou d'informatique, lesquels sont également pris en charge, exclusivement, par la recourante. On peut donc conclure de ces éléments factuels que la recourante met gratuitement à disposition de l'avocat, comme elle le fait d'ailleurs pour tous les autres collaborateurs de l'Étude, un bureau entièrement équipé, lequel est nécessaire à l'exercice de sa profession, même si l'intéressé travaille parfois à domicile ou à l'extérieur, notamment lorsqu'il est en voyage. Sur ce plan, l'avocat bénéficie donc des même services et mises à disposition de matériel et de locaux que les autres avocats salariés exerçant leurs activités dans le cadre d'un contrat de travail conclu avec la recourante. c. S'agissant du rôle de l'avocat dans la société de la recourante, certains éléments, apparaissant dans les time-sheet fournis par la recourante montrent une intégration étroite de l'avocat dans l'organisation de la recourante, qui n'est pas sans rappeler une fonction directoriale à l'égard des collaborateurs de l'Étude. Les time-sheet des notes d'honoraires des 27 septembre 2010 et 23 décembre 2011 font ainsi apparaître de nombreuses « Conférence(s) interne(s) avec Me B______ » facturées par le collaborateur en charge du dossier. Or, l'avocat n'a pas présenté de notes d'honoraires, qui devraient être la contrepartie de son activité indépendante, facturées à la recourante, pour son intervention dans les deux dossiers concernés. d. En ce qui concerne le partage éventuel des honoraires, les trois demandes d'acomptes d'honoraires présentées par l'avocat à la recourante en 2010 (CHF 40'000.-), 2011 (CHF 120'000.-) et 2012 (CHF 120'000.-) ne se rapportent à aucun(s) dossier(s) en particulier et ne permettent pas de conclure qu'il ne s'agirait pas d'une distribution de salaire, ce d'autant plus que l'avocat indique dans sa note d'honoraires que les demandes d'acomptes sont chaque fois payables par mensualités de CHF 10'000.-, le 25 de chaque mois, ce qui aboutit matériellement au paiement régulier d'une rémunération fixe, qui - dans les deux derniers cas - serait l'équivalent d'un salaire annuel de CHF 120'000.-, payé à raison de CHF 10'000.- par mois. e. S'agissant de la clientèle, la chambre de céans constate que les procurations ne sont pas signées uniquement en faveur de l'avocat, mais qu'elles le sont, selon l'ordre de l'exemple produit, en faveur du mandataire désigné comme étant la recourante, puis de l'avocat personnellement. Cet élément, cumulé au fait que les factures sont émises au nom de la recourante, même lorsqu'elles concernent des affaires auxquelles l'avocat a pris part, permet de retenir que la recourante agit en son nom et pour son propre compte, représentant le client et facturant ses services à ce dernier. Ce n'est donc pas l'avocat qui supporte le risque économique de l'indépendant ; ce risque est supporté par la recourante. De surcroît, le contrat de travail type produit par la recourante mentionne que les collaborateurs bénéficient d'une allocation annuelle destinée à la prospection des affaires, au développement de la clientèle et au rayonnement de l'Étude, ce qui permet de conclure que la recourante a également ses propres clients, qui ne sont pas amenés exclusivement par l'avocat, contrairement à ce que mentionne le préambule du contrat de fiducie, mais conformément à son art. 1. L'existence de frais de représentation et de marketing indique donc une activité de démarchage et d'apport de clientèle, menée par la recourante, par l'intermédiaire des collaborateurs. Ledit contrat mentionne également que les collaborateurs sont responsables, au plan comptable, des dossiers traités et du recouvrement des honoraires et frais exclusivement facturés par l'Étude et encaissés sur ses comptes, ce qui suggère que chaque collaborateur gère sa propre clientèle et que la gestion des mandats n'est pas déléguée à la recourante, cette dernière ne s'occupant que de la facturation. f. La convention de fiducie n'opère pas de partage d'honoraires entre les éventuels honoraires que l'avocat pourrait percevoir en sa qualité d'indépendant et ceux qui entreraient dans le cadre de sa fonction d'administrateur. Le fiduciaire est chargé de l'encaissement (art. 3) et a droit à une rémunération pour son activité (art. 6). La chambre de céans avait déjà fait remarquer, dans son arrêt du 18 mai 2016, que les pièces permettant de déterminer l'utilisation des honoraires encaissés par la recourante et celles permettant de déterminer si une partie des honoraires était versée à l'avocat pour son travail ou à titre de participation au bénéfice de la société faisaient défaut. g. Enfin, comme déjà constaté dans le cadre de la précédente procédure, la responsabilité civile de l'avocat est conclue au nom de la recourante ce qui est en contradiction avec la convention de fiducie, laquelle prévoit que le fiduciaire intervient en son propre nom et exclusivement pour le compte et aux risques et périls du fiduciant. Si tel était le cas, l'assurance de responsabilité civile devrait être conclue par l'avocat qui supporte le risque in fine . Cela étant, compte tenu de l'identité économique parfaite entre la recourante et l'avocat, il paraît peu vraisemblable que le fiduciaire se retourne contre le fiduciant en cas de défaut de couverture. Pour le reste, l'avocat ne répond pas à titre personnel des dettes de la recourante, à moins de voir sa responsabilité engagée au sens de l'art. 52 LAVS. En l'absence de toute justification, aucune conclusion ne saurait être tirée quant à l'origine des dettes que la recourante soutient avoir envers son actionnaire unique. Aucun élément ne vient étayer les allégations de la recourante selon lesquelles ces dettes découleraient d'investissements effectués par l'avocat. À l'aune des critères jurisprudentiels examinés supra, les particularités du cas d'espèce conduisent la chambre de céans à considérer que les éléments suivants sont de nature à démontrer que l'activité dépendante est prédominante : La recourante a mis à disposition de l'avocat des locaux, du matériel et du personnel administratif, comme c'est le cas pour tous les autres avocats salariés de la recourante, tel que cela résulte du contrat de travail standard. Le fait que l'avocat soit, par ailleurs, propriétaire des locaux n'a pas d'incidence, ce contexte faisant l'objet d'une relation contractuelle de bailleur et locataire, distincte de la présente espèce et donnant lieu au paiement par la recourante/locataire d'un loyer à l'avocat/bailleur. Les procurations signées par les clients le sont en faveur de la recourante et de l'avocat et non pas exclusivement en faveur de l'avocat. Il ne s'agit donc pas d'un mandat ad personam signé en faveur de l'avocat qui - par la suite et avec l'accord de son client - pourrait sous-mandater l'exécution du mandat à la recourante. Contrairement à ce qu'allègue l'avocat, la recourante n'a pas qu'un statut de société de factoring ; elle emploie des collaborateurs, loue des locaux, met du matériel et du personnel à disposition des avocats de l'Étude et conclut des mandats avec des clients. L'ensemble de ces activités commerciales dépasse largement une simple activité administrative de factoring qui pourrait être aisément déléguée à une société fiduciaire. L'avocat n'a pas le monopole de l'apport de la clientèle à la recourante, cette dernière indemnisant les collaborateurs salariés pour « la prospection d'affaires, le développement de la clientèle et le rayonnement de l'Étude » (paragraphe 2.I du contrat de travail standard). Le risque économique est supporté par la recourante qui a conclu à cet égard une assurance professionnelle en responsabilité civile ; cet élément est déterminant même si dans le cadre des rapports internes entre fiduciant et fiduciaire il est prévu que le fiduciant supporte le risque. L'identité économique totale entre l'avocat et la recourante permet d'exclure que cette dernière se retourne contre l'avocat, ceci expliquant la raison pour laquelle l'assurance en responsabilité civile a été conclue au nom de la recourante et non pas de l'avocat. Supportant le fardeau de la preuve, l'avocat n'a pas produit de pièces attestant de l'existence d'une réelle organisation d'entreprise indépendante de celle de la recourante qui lui permettrait de se voir reconnaître le statut d'indépendant et ferait ainsi obstacle au raisonnement suivi supra. Eu égard à tout ce qui précède, la chambre de céans considère que l'activité de l'avocat est dépendante et que les rémunérations que la recourante lui a versées entre le 15 juillet 2010 et le 31 décembre 2014 doivent être soumises aux cotisations sociales. 13.    Aussi le recours doit-il être rejeté. 14.    Pour le surplus, la procédure est gratuite (art. 61 let. a LPGA).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