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A/3045/2014 vom 15. Dezember 2014</w:t>
      </w:r>
    </w:p>
    <w:p>
      <w:r>
        <w:t>GE Cour de justice, 2014-12-15, FR</w:t>
      </w:r>
    </w:p>
    <w:p>
      <w:r>
        <w:rPr>
          <w:b/>
        </w:rPr>
        <w:t xml:space="preserve">Quelle: </w:t>
      </w:r>
      <w:r>
        <w:t>https://mcp.opencaselaw.ch/entscheid/ge_gerichte_A_3045_2014</w:t>
      </w:r>
    </w:p>
    <w:p>
      <w:r>
        <w:t>FR: GE_GERICHTE A/3045/2014 du 15 décembre 2014</w:t>
      </w:r>
    </w:p>
    <w:p>
      <w:r>
        <w:t>IT: GE_GERICHTE A/3045/2014 del 15 dicembre 2014</w:t>
      </w:r>
    </w:p>
    <w:p>
      <w:pPr>
        <w:pStyle w:val="Heading2"/>
      </w:pPr>
      <w:r>
        <w:t>Volltext</w:t>
      </w:r>
    </w:p>
    <w:p>
      <w:r>
        <w:t>Genève Cour de justice (Cour de droit public) Chambre des assurances sociales 15.12.2014 A/3045/2014</w:t>
      </w:r>
    </w:p>
    <w:p>
      <w:r>
        <w:t>A/3045/2014 ATAS/1283/2014 du 15.12.2014 ( FFP ) , IRRECEVABLE république et canton de genÈve A/3045/2014 ATAS/1283/2014 COUR DE JUSTICE Chambre des assurances sociales Arrêt du 15 décembre 2014 6 ème Chambre En la cause A______, Monsieur B______, à GenÈve recourant contre CAISSE CANTONALE GENEVOISE DE COMPENSATION, sise rue des Gares 12, GenÈve intimée Vu en fait la décision de la caisse cantonale genevoise de compensation (CCGC) du 23 août 2014 fixant le montant de CHF 494.- au titre de taxe de formation professionnelle pour A______; Vu le recours de A______ interjeté le 7 octobre 2014 auprès de la chambre des assurances sociales de la Cour de justice à l'encontre de la décision précitée, lequel fait référence à un courrier du 3 septembre 2014 envoyé à la chambre de céans et resté sans réponse; Vu le courrier de la recourante du 15 octobre 2014 précisant, à la demande de la chambre de céans, que le recours du 3 septembre 2014 avait été posté dans la boîte aux lettres, boulevard Carl-Vogt 1 en courrier A le 3 septembre 2014 en fin de journée par M. B______ et qu'aucun autre élément de preuve ne pouvait être fourni; Vu la réponse de l'intimée du 19 novembre 2014 concluant à l'irrecevabilité du recours pour tardiveté; Vu le courrier du 20 novembre 2014 de la chambre de céans invitant l'intimée à lui faire parvenir un dossier complet; Vu le courrier de l'intimée du 27 novembre 2014, lequel transmet la décision de cotisation pour 2014, du 23 août 2014, dernière pièce constituant, selon l’intimée, le dossier de la taxe de formation professionnelle. Attendu en droit que dès le 1 er janvier 2011, la compétence de juger les contestations prévues à l'art. 66 al. 1 de la loi cantonale sur la formation professionnelle, du 15 juin 2007 (LFP; C 2 5) revient à la Chambre des assurances sociales de la Cour de justice (art. 143 al. 6 de la LOJ du 9 octobre 2009); Que sa compétence pour juger du cas d’espèce est ainsi établie; Que selon l'art. 60 al. 1 de la loi sur la formation professionnelle du 15 juin 2007 (LFP - C 2 05)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Que dotée de la personnalité juridique, la fondation est placée sous le contrôle du Conseil d'Etat; Que selon l’art. 61 al. 1 LFP,  les ressources de la fondation sont constituées par une cotisation à la charge des employeurs et des employeuses définis à l’article 62 (let. a) et des subventions annuelles de fonctionnement allouées par l'Etat.(13) (let. b); Que selon l’art. 63 al. 1 LFP, la cotisation est fixée chaque année par le Conseil d’Etat en francs par salarié et salariée; Que selon l’art. 65 let. b LFP, les caisses d’allocations familiales, fonctionnant en tant qu’organes chargés de la perception en vertu de l’article 64 de la loi, sont compétentes pour prendre les décisions relatives à la cotisation; Que selon l’art. 66 al. 1 et 2 LFP, les décisions prises en application de l’article 65, lettres a, b et d, peuvent faire l’objet d’un recours auprès de la chambre des assurances sociales de la Cour de justice ; que le délai de recours est de 30 jours à compter de la notification de la décision;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Qu'en l'espèce, la recourante a déposé le 7 octobre 2014 un recours à l’encontre de la décision de l’intimée du 23 août 2014 en indiquant qu’un premier recours avait été posté le 3 septembre 2014 à l’encontre de la décision précitée; Qu’en conséquence, la recourante a été, au plus tard le 3 septembre 2014, en possession de la décision litigieuse, de sorte que le délai pour recourir à son encontre était échu au plus tard le 3 octobre 2014; Que le recours du 7 octobre 2014 est donc tardif; Que le dossier de l’intimée ne contient pas de trace du recours du 3 septembre 2014, pas plus que le dossier de la chambre de céans; Que la recourante a indiqué ne pas avoir de preuve de l’envoi de ce courrier; Qu’il ne peut donc en être tenu compte; Que, partant, le recours ne peut qu’être déclaré irrecevable. PAR CES MOTIFS, LA CHAMBRE DES ASSURANCES SOCIALES : Statuant A la forme : 1.        Déclare le recours irrecevable pour cause de tardiveté.![endif]&gt;![if&gt;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