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A/3023/2023 vom 5. Februar 2024</w:t>
      </w:r>
    </w:p>
    <w:p>
      <w:r>
        <w:t>GE Cour de justice, 2024-02-05, FR</w:t>
      </w:r>
    </w:p>
    <w:p>
      <w:r>
        <w:rPr>
          <w:b/>
        </w:rPr>
        <w:t xml:space="preserve">Quelle: </w:t>
      </w:r>
      <w:r>
        <w:t>https://mcp.opencaselaw.ch/entscheid/ge_gerichte_A_3023_2023</w:t>
      </w:r>
    </w:p>
    <w:p>
      <w:r>
        <w:t>FR: GE_GERICHTE A/3023/2023 du 5 février 2024</w:t>
      </w:r>
    </w:p>
    <w:p>
      <w:r>
        <w:t>IT: GE_GERICHTE A/3023/2023 del 5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(du 14 septembre 2023) a été interjeté postérieurement au 1 er janvier 2021, il est soumis au nouveau droit (cf. art. 82 a LPGA a contrario ).![endif]&gt;![if&gt;</w:t>
      </w:r>
    </w:p>
    <w:p>
      <w:r>
        <w:rPr>
          <w:b/>
        </w:rPr>
        <w:t>E. 4</w:t>
      </w:r>
    </w:p>
    <w:p>
      <w:r>
        <w:t>Le 1 er janvier 2017 est entrée en vigueur la modification du 25 septembre 2015 de la LAA. Dans la mesure où l'accident est survenu après cette date (le 17 mai 2019), le droit du recourant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 er janvier 2017.![endif]&gt;![if&gt;</w:t>
      </w:r>
    </w:p>
    <w:p>
      <w:r>
        <w:rPr>
          <w:b/>
        </w:rPr>
        <w:t>E. 5</w:t>
      </w:r>
    </w:p>
    <w:p>
      <w:r>
        <w:t>![endif]&gt;![if&gt;</w:t>
      </w:r>
    </w:p>
    <w:p>
      <w:r>
        <w:rPr>
          <w:b/>
        </w:rPr>
        <w:t>E. 5.1</w:t>
      </w:r>
    </w:p>
    <w:p>
      <w:r>
        <w:t>Le délai de recours est de trente jours (art. 60 al. 1 LPGA ; art. 62 al. 1 let. a de la loi sur la procédure administrative du 12 septembre 1985 [LPA - E 5 10]). ![endif]&gt;![if&gt; Le recours a été interjeté dans la forme (art. 61 let. b LPGA) et le délai prévus par la loi, compte tenu de la suspension des délais pour la période du 15 juillet au 15 août inclusivement (art. 38 al. 4 let. b LPGA et art. 89C let. b LPA).</w:t>
      </w:r>
    </w:p>
    <w:p>
      <w:r>
        <w:rPr>
          <w:b/>
        </w:rPr>
        <w:t>E. 5.2</w:t>
      </w:r>
    </w:p>
    <w:p>
      <w:r>
        <w:t>L'intimée considère que la conclusion du recourant tendant à l'octroi d'une rente d'invalidité de l'assurance-accidents, qui relève du fond, est irrecevable, au motif qu'elle excède l'objet du litige, dans la mesure où la décision querellée prononce l'irrecevabilité de l'opposition s'agissant du droit à cette prestation, faute à l'époque de motivation, même sommaire à ce sujet. ![endif]&gt;![if&gt; Dans son opposition, le recourant contestait l'appréciation médicale du médecin d'arrondissement, en faisant valoir que des rapports médicaux au dossier concluaient à une incapacité de travail totale (dossier intimée pièce 286 p. 10). On peut se demander si l'argumentation du recourant n'était pas suffisante pour que l'intimée entre en matière sur le droit à la rente d'invalidité. La question de la recevabilité de la conclusion du recourant à cet égard dans la présente procédure peut toutefois demeurer ouverte, car, pour les motifs exposés plus loin, le recours doit être rejeté.</w:t>
      </w:r>
    </w:p>
    <w:p>
      <w:r>
        <w:rPr>
          <w:b/>
        </w:rPr>
        <w:t>E. 6</w:t>
      </w:r>
    </w:p>
    <w:p>
      <w:r>
        <w:t>Ceci étant dit, au vu des conclusions et motifs du recours, est litigieux le droit du recourant à une rente d'invalidité de l'assurance-accidents, ainsi que son droit éventuel à une IPAI supérieure au taux de 10% retenu par l'intimée. ![endif]&gt;![if&gt;</w:t>
      </w:r>
    </w:p>
    <w:p>
      <w:r>
        <w:rPr>
          <w:b/>
        </w:rPr>
        <w:t>E. 7</w:t>
      </w:r>
    </w:p>
    <w:p>
      <w:r>
        <w:t>![endif]&gt;![if&gt;</w:t>
      </w:r>
    </w:p>
    <w:p>
      <w:r>
        <w:rPr>
          <w:b/>
        </w:rPr>
        <w:t>E. 7.1</w:t>
      </w:r>
    </w:p>
    <w:p>
      <w:r>
        <w:t>Selon l'art. 6 al. 1 LAA, les prestations d'assurance sont allouées en cas d'accident professionnel, d'accident non professionnel et de maladie professionnelle.![endif]&gt;![if&gt;</w:t>
      </w:r>
    </w:p>
    <w:p>
      <w:r>
        <w:rPr>
          <w:b/>
        </w:rPr>
        <w:t>E. 7.2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références).![endif]&gt;![if&gt;</w:t>
      </w:r>
    </w:p>
    <w:p>
      <w:r>
        <w:rPr>
          <w:b/>
        </w:rPr>
        <w:t>E. 8</w:t>
      </w:r>
    </w:p>
    <w:p>
      <w:r>
        <w:t>![endif]&gt;![if&gt;</w:t>
      </w:r>
    </w:p>
    <w:p>
      <w:r>
        <w:rPr>
          <w:b/>
        </w:rPr>
        <w:t>E. 8.1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nait le troisième jour qui suit celui de l'accident. Il s’éteint dès que l’assuré a recouvré sa pleine capacité de travail, dès qu’une rente est versée ou dès que l’assuré décède (art. 16 al. 2 LAA).![endif]&gt;![if&gt;</w:t>
      </w:r>
    </w:p>
    <w:p>
      <w:r>
        <w:rPr>
          <w:b/>
        </w:rPr>
        <w:t>E. 8.2</w:t>
      </w:r>
    </w:p>
    <w:p>
      <w:r>
        <w:t>Si l'assuré est invalide (art. 8 LPGA) à 10 % au moins par suite d’un accident, il a droit à une rente d'invalidité, pour autant que l’accident soit survenu avant l’âge ordinaire de la retraite (art. 18 al. 1 LAA, dans sa teneur en vigueur à compter du 1 er janvier 2017).![endif]&gt;![if&gt;</w:t>
      </w:r>
    </w:p>
    <w:p>
      <w:r>
        <w:rPr>
          <w:b/>
        </w:rPr>
        <w:t>E. 8.3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rente.![endif]&gt;![if&gt;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w:t>
      </w:r>
    </w:p>
    <w:p>
      <w:r>
        <w:rPr>
          <w:b/>
        </w:rPr>
        <w:t>E. 9</w:t>
      </w:r>
    </w:p>
    <w:p>
      <w:r>
        <w:t>![endif]&gt;![if&gt;</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11</w:t>
      </w:r>
    </w:p>
    <w:p>
      <w:r>
        <w:t>![endif]&gt;![if&gt;</w:t>
      </w:r>
    </w:p>
    <w:p>
      <w:r>
        <w:rPr>
          <w:b/>
        </w:rPr>
        <w:t>E. 11.1</w:t>
      </w:r>
    </w:p>
    <w:p>
      <w:r>
        <w:t>En l'occurrence, l'intimée s'est fondée sur le rapport du 24 janvier 2023 de son médecin d'arrondissement, le Dr C______, spécialiste en chirurgie orthopédique et traumatologie de l'appareil locomoteur, pour mettre un terme au traitement médical et au versement de l'indemnité journalière avec effet au 31 mars 2023, et considérer que le recourant est pleinement apte à travailler dans une activité adaptée à ses limitations fonctionnelles. ![endif]&gt;![if&gt;</w:t>
      </w:r>
    </w:p>
    <w:p>
      <w:r>
        <w:rPr>
          <w:b/>
        </w:rPr>
        <w:t>E. 11.2</w:t>
      </w:r>
    </w:p>
    <w:p>
      <w:r>
        <w:t>Le Dr C______ a étudié le dossier du recourant, droitier, y compris radiologique (dossier intimée pièce 222 p.1-8 ; pièce 246 p. 3), pris en compte les plaintes de celui-ci (pièce 246 p. 4) et l'a examiné (p. 4-5). Il a constaté que les douleurs au membre supérieur gauche persistaient, mais que la mobilité était bonne, avec une perte de la force (p. 5-6). En l'absence de toute thérapie efficace (physiothérapie, infiltrations ; p. 4), à trois ans de l'opération chirurgicale, il a considéré que le cas était stabilisé (p. 6). ![endif]&gt;![if&gt; Quand bien même les douleurs du recourant persistaient, vu l'absence d'une amélioration significative malgré les séances de physiothérapie et les infiltrations, et compte tenu du fait qu'il n'y avait plus aucune proposition chirurgicale (rapport des HUG du 8 juin 2022 [pièce 201 p. 1]), l'intimée était fondée à retenir que l'état de santé du recourant était stabilisé (cf. arrêt du Tribunal fédéral 8C_589/2018 du 4 juillet 2019 consid. 4.3), et à mettre un terme à la prise en charge des soins médicaux et au versement des indemnités journalières au 31 mars 2023.</w:t>
      </w:r>
    </w:p>
    <w:p>
      <w:r>
        <w:rPr>
          <w:b/>
        </w:rPr>
        <w:t>E. 11.3</w:t>
      </w:r>
    </w:p>
    <w:p>
      <w:r>
        <w:t>En ce qui concerne la capacité de travail résiduelle du recourant, c'est sur la base de l'examen clinique (pièce 246 p. 4-6) et donc en connaissance des limitations de celui-ci que le Dr C______ a estimé qu'il est apte à exercer une activité adaptée à plein temps (ne nécessitant pas le soulèvement de charges supérieures à 10 kg dans l'axe du corps jusqu'à la taille, 5 kg en porte-à-faux, 3 kg de façon rapide et fréquente, sans poussées-tractions contrariées, et sans travail au-dessus de l'horizontale ; p. 6). ![endif]&gt;![if&gt; Aucun rapport médical au dossier ne fait état d’éléments objectifs permettant de douter du bien-fondé des conclusions du Dr C______. En particulier, dans son rapport du 18 janvier 2023, que le recourant cite, le Dr D______ ne s'est pas déterminé sur la capacité de travail de celui-ci (pièce 247 p. 2). Le fait que les actes de la vie quotidienne (faire le ménage, se doucher) soient difficiles à réaliser, de même que le port de charges lourdes, aux dires du recourant en raison des douleurs (pièce 247 p. 1) n'est pas susceptible de remettre en cause l'exigibilité entière dans une activité adaptée. Les douleurs relevées par le Dr D______ étaient connues du médecin d'arrondissement de la SUVA qui pour rappel a exposé son appréciation du cas sur la base de l'examen clinique du recourant, en connaissance des restrictions physiques de ce dernier. Dans ces circonstances, il y a lieu de retenir, avec le Dr C______, que le recourant est pleinement apte à exercer une activité adaptée (dès le 1 er avril 2023).</w:t>
      </w:r>
    </w:p>
    <w:p>
      <w:r>
        <w:rPr>
          <w:b/>
        </w:rPr>
        <w:t>E. 11.4</w:t>
      </w:r>
    </w:p>
    <w:p>
      <w:r>
        <w:t>Au vu de ce qui précède, la mise en œuvre d'une expertise, sollicitée par le recourant, est, par appréciation anticipée des preuves (ATF 122 II 464 consid. 4a), inutile, de sorte que la chambre de céans n’y donnera pas suite.![endif]&gt;![if&gt;</w:t>
      </w:r>
    </w:p>
    <w:p>
      <w:r>
        <w:rPr>
          <w:b/>
        </w:rPr>
        <w:t>E. 12</w:t>
      </w:r>
    </w:p>
    <w:p>
      <w:r>
        <w:t>Reste à examiner le degré d'invalidité. ![endif]&gt;![if&gt;</w:t>
      </w:r>
    </w:p>
    <w:p>
      <w:r>
        <w:rPr>
          <w:b/>
        </w:rPr>
        <w:t>E. 12.1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3.3.1).![endif]&gt;![if&gt;</w:t>
      </w:r>
    </w:p>
    <w:p>
      <w:r>
        <w:rPr>
          <w:b/>
        </w:rPr>
        <w:t>E. 12.2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références).![endif]&gt;![if&gt;</w:t>
      </w:r>
    </w:p>
    <w:p>
      <w:r>
        <w:rPr>
          <w:b/>
        </w:rPr>
        <w:t>E. 12.3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![endif]&gt;![if&gt;</w:t>
      </w:r>
    </w:p>
    <w:p>
      <w:r>
        <w:rPr>
          <w:b/>
        </w:rPr>
        <w:t>E. 12.4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 ATF 148 V 174 consid. 6.2 et les références ; 143 V 295 consid. 2.2 et les références).![endif]&gt;![if&gt;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 15 avril 2016.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arrêt du Tribunal fédéral 8C_608/2021 du 26 avril 2022 consid. 3.3 et les références).</w:t>
      </w:r>
    </w:p>
    <w:p>
      <w:r>
        <w:rPr>
          <w:b/>
        </w:rPr>
        <w:t>E. 13</w:t>
      </w:r>
    </w:p>
    <w:p>
      <w:r>
        <w:t>![endif]&gt;![if&gt;</w:t>
      </w:r>
    </w:p>
    <w:p>
      <w:r>
        <w:rPr>
          <w:b/>
        </w:rPr>
        <w:t>E. 13.1</w:t>
      </w:r>
    </w:p>
    <w:p>
      <w:r>
        <w:t>En l'espèce, dans la mesure où il n'y avait plus lieu d'attendre de la continuation du traitement médical une sensible amélioration de l'état du recourant au 31 mars 2023, il convient d'examiner le droit éventuel à la rente dès le 1 er avril 2023. La comparaison des revenus doit donc se faire au regard de cette année.![endif]&gt;![if&gt;</w:t>
      </w:r>
    </w:p>
    <w:p>
      <w:r>
        <w:rPr>
          <w:b/>
        </w:rPr>
        <w:t>E. 13.2</w:t>
      </w:r>
    </w:p>
    <w:p>
      <w:r>
        <w:t>S'agissant du revenu sans invalidité que le recourant aurait pu obtenir en 2023 dans son ancienne activité s’il n’avait pas été atteint dans sa santé, il sied de se référer à la Convention collective de travail dans le secteur du nettoyage, qui était appliquée par l'ancien employeur (dossier intimée pièce 266). ![endif]&gt;![if&gt; Selon l'Arrêté du Conseil fédéral étendant le champ d'application de la convention collective de travail du secteur du nettoyage pour la Suisse romande, prorogation et modification du 30 novembre 2022, le salaire horaire d'un nettoyeur sans qualification, actif plus de quatre ans dans la branche, comme c'était le cas du recourant (pièce 20 p. 1), s'élève à CHF 23.75 en 2023. Cependant, dans le canton de Genève, le salaire minimum légal s'applique (cf. Annexe 2 audit Arrêté), qui était de CHF 24.- cette année (disponible sur : https://www.eda.admin.ch/missions/mission-onu-geneve/fr/home/manuel-application-regime/introduction/manuel-droit-travail/Salaire-minimum-dans-le-canton-de-Geneve.html). Le recourant percevait de son ancien employeur un salaire horaire brut qui englobait les indemnités pour jours de vacances de 9.25% (art. 17 ch. 8 de l'Arrêté du Conseil fédéral étendant le champ d'application de la convention collective de travail du secteur du nettoyage pour la Suisse romande du 13 février 2014) et pour jours fériés de 3.75% (art. 16 ch. 3 dudit Arrêté ; pièce 266). Lorsque le salaire horaire comprend l'indemnité de vacances et l'indemnité pour jours fériés, les jours correspondants de vacances et de congés doivent être déduits du temps de travail annuel (arrêt du Tribunal fédéral 9C_249/2020 du 3 décembre 2020 consid. 5.1). Durant l'année 2023, le recourant aurait, à raison de 8.60 heures par jour (l'horaire de travail dans l'entreprise étant de 43 heures hebdomadaires ; pièce 266), effectivement travaillé 231 jours (365 jours - 53 dimanches - 52 samedis - 7 jours fériés (vendredi 7 avril [Vendredi-Saint], lundi 10 avril [Pâques], jeudi 18 mai [Ascension], lundi 29 mai [Pentecôte], mardi 1 er août [Fête nationale], jeudi 7 septembre [Jeûne genevois], et lundi 25 décembre [Noël], le Nouvel An, et la Restauration de la République tombant sur un dimanche ; cf. https://www.ge.ch/vacances-scolaires-jours-feries/jours-feries-officiels-2022-2027) - 22 jours de vacances (un taux d'indemnité de vacances de 10.64% correspond à 25 jours de vacances [cf. arrêt du Tribunal fédéral 8C_401/2018 du 16 mai 2019 consid. 4.4] ; partant, un taux d'indemnité de vacances ici de 9.25% correspond à 22 jours de vacances [9.25 × 25 / 10.64 = 21.73]). Compte tenu d'un salaire horaire de CHF 27.10 (24 [salaire de base] + 0.90 [jours fériés ; 24 × 3.75%] + 2.22 [vacances ; 24 × 9.25%]), il en résulte un revenu annuel sans invalidité de CHF 58'321.46 (27.10 × 8.60 × 231 = 53'836.86), auquel vient s'ajouter le droit au 13 e salaire (8.33% ; art. 9 ch. 2 de l'Arrêté précité du 13 février 2014, soit CHF 4'484.60).</w:t>
      </w:r>
    </w:p>
    <w:p>
      <w:r>
        <w:rPr>
          <w:b/>
        </w:rPr>
        <w:t>E. 13.3</w:t>
      </w:r>
    </w:p>
    <w:p>
      <w:r>
        <w:t>En ce qui concerne le revenu avec invalidité, dès lors que le recourant n’a pas repris d’activité professionnelle, il convient de l'évaluer sur la base des statistiques salariales figurant dans l’ESS.![endif]&gt;![if&gt; En ce qui concerne l’année de référence des tableaux statistiques à appliquer, l’ESS 2018 a été publiée le 21 avril 2020 ; l’ESS 2020, le 23 août 2022. Dès lors qu’au moment où la décision litigieuse a été rendue, le 17 juillet 2023, l’intimée disposait des données 2020, le salaire avec invalidité doit être déterminé sur la base de l'ESS 2020 (arrêt du Tribunal fédéral 8C_655/2016 du 4 août 2017 consid. 6.3) et être indexé jusqu’à la date de l’ouverture (éventuel) du droit à la rente, soit le 1 er avril 2023 (ATF 129 V 222 consid. 4.1 et 4.2). Ainsi, il y a lieu de se référer au tableau TA1_tirage_skill_level de l'ESS 2020, dont il ressort que le revenu statistique tiré d'activités physiques ou manuelles simples dans le secteur privé s'élève à CHF 5'261.- pour un homme (niveau 1, total, part au 13 ème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y a ensuite lieu d'indexer ce montant à 2023, année déterminante pour la comparaison des revenus. Selon le tableau publié par l'OFS le 24 avril 2023, les salaires nominaux des hommes ont diminué de 0.7% en 2021, et augmenté de 1.1% en 2022 (disponible sur: https://www.bfs.admin.ch/bfs/fr/home/statistiques/catalogues-banques-donnees/tableaux.assetdetail.24745535.html). Selon l'estimation trimestrielle de l'évolution des salaires nominaux publiée par l'OFS le 31 mai 2023 (disponible sur : https://www.bfs.admin.ch/bfs/fr/home/statistiques/travail-remuneration/salaires-revenus-cout-travail/indice-salaires/estimation-trimestrielle.assetdetail.25305058.html), soit la plus récente au moment déterminant de la décision litigieuse du 17 juillet 2023 (cf. arrêt du Tribunal fédéral 8C_659/2022 du 2 mai 2023 consid. 7.2), les salaires nominaux ont augmenté de 1.8% en 2023. Il s'ensuit que le revenu d'invalide s'élève à CHF 67'262.60 pour un plein temps en 2023 (65'815.11 - 460.71 en 2021 = 65'354.40 + 718.90 en 2022 = 66'073.30 + 1'189.30 en 2023 = 67'262.60). L'intimée a appliqué un abattement de 10% pour tenir compte des limitations fonctionnelles du recourant et de son permis B (dossier intimée pièce 270). Pour le surplus, dans l'arrêt 8C_227/2017 du 17 mai 2018, le Tribunal fédéral a rappelé que l'âge d'un assuré ne constituait pas en soi un facteur de réduction du salaire statistique. Autrement dit, il ne suffisait pas de constater qu'un assuré avait dépassé la cinquantaine au moment déterminant du droit à la rente pour que cette circonstance justifie de procéder à un abattement. Il a en outre insisté sur le point que l'effet de l'âge combiné avec un handicap devait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Dans le cas qui lui était soumis d'un assuré âgé de 59 ans au moment déterminant, le Tribunal fédéral a constaté qu'après la cessation d'activité de son ancien employeur, l'assuré avait accompli plusieurs missions temporaires alors qu'il était au chômage, de sorte qu'on pouvait admettre qu'il disposait d'une certaine capacité d'adaptation sur le plan professionnel, susceptible le cas échéant de compenser les désavantages compétitifs liés à son âge, surtout dans le domaine des emplois non qualifiés qui étaient, en règle générale, disponibles indépendamment de l'âge de l'intéressé sur le marché du travail équilibré (arrêt du Tribunal fédéral 8C_597/2020 du 16 juin 2021 consid. 5.2.2). En l'occurrence, les perspectives salariales du recourant ne sont pas concrètement réduites sur un marché du travail équilibré en raison de son âge (59 ans au moment du droit à la rente), dans le domaine des emplois non qualifiés (qui correspondent à ceux du niveau de compétence 1). Il ressort par ailleurs du dossier que l'expérience professionnelle du recourant ne s'est pas limitée à celle d'un agent d'exploitation. Il a également exercé différents métiers dans le bâtiment : peinture, carrelage (dossier intimée pièce 115 p. 1). Il sied donc d'admettre qu'il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La durée de l'absence du marché du travail ne constitue pas non plus une circonstance déterminante pour un abattement dans le contexte d'une activité adaptée relevant de tâches manuelles simples (cf. arrêt du Tribunal fédéral 8C_608/2021 du 26 avril 2022 consid. 4.3.3).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 1, l'influence de la durée de service sur le salaire étant peu importante dans cette catégorie d'emplois (arrêt du Tribunal fédéral 8C_280/2022 du 1 er mars 2023 consid. 7.2.4). Par ailleurs, le niveau de compétence 1 déterminant en l'espèce ne nécessite pas une bonne maîtrise d'une langue nationale (arrêt du Tribunal fédéral 8C_280/2022 du 1 er mars 2023 consid. 7.2.4). Partant, il n'y a pas lieu d'appliquer un abattement supérieur à 10%. Il en résulte que le revenu d'invalide s'élève à CHF 60'536.34 (67'262.60 - 6'726.26) en 2023.</w:t>
      </w:r>
    </w:p>
    <w:p>
      <w:r>
        <w:rPr>
          <w:b/>
        </w:rPr>
        <w:t>E. 13.4</w:t>
      </w:r>
    </w:p>
    <w:p>
      <w:r>
        <w:t>En conséquence, le revenu d'invalide étant supérieur au revenu de valide (CHF 58'321.46), le recourant ne subit aucune perte de gain, de sorte qu'il n'a pas droit à une rente d'invalidité de l'assurance-accidents. ![endif]&gt;![if&gt;</w:t>
      </w:r>
    </w:p>
    <w:p>
      <w:r>
        <w:rPr>
          <w:b/>
        </w:rPr>
        <w:t>E. 14</w:t>
      </w:r>
    </w:p>
    <w:p>
      <w:r>
        <w:t>Reste encore à se prononcer sur le droit éventuel du recourant à une IPAI supérieure au taux de 10% retenu par l'intimée. ![endif]&gt;![if&gt;</w:t>
      </w:r>
    </w:p>
    <w:p>
      <w:r>
        <w:rPr>
          <w:b/>
        </w:rPr>
        <w:t>E. 14.1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w:t>
      </w:r>
    </w:p>
    <w:p>
      <w:r>
        <w:rPr>
          <w:b/>
        </w:rPr>
        <w:t>E. 14.2</w:t>
      </w:r>
    </w:p>
    <w:p>
      <w:r>
        <w:t>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![endif]&gt;![if&gt;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entraine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voir aussi 125 II 169 consid. 2d).</w:t>
      </w:r>
    </w:p>
    <w:p>
      <w:r>
        <w:rPr>
          <w:b/>
        </w:rPr>
        <w:t>E. 14.3</w:t>
      </w:r>
    </w:p>
    <w:p>
      <w:r>
        <w:t>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phrase).![endif]&gt;![if&gt;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(cf. arrêt du Tribunal fédéral 8C_746/2022 du 18 octobre 2023 consid. 4.2 et les références ; sur la répartition des tâches entre le médecin et l'administration ou le tribunal, cf. également ATF 140 V 193 consid. 3.2).</w:t>
      </w:r>
    </w:p>
    <w:p>
      <w:r>
        <w:rPr>
          <w:b/>
        </w:rPr>
        <w:t>E. 14.4</w:t>
      </w:r>
    </w:p>
    <w:p>
      <w:r>
        <w:t>Depuis le 1 er janvier 2016, le montant maximum du gain assuré s’élève à CHF 148'200.- par an et à CHF 406.- par jour (art. 22 OLAA).![endif]&gt;![if&gt;</w:t>
      </w:r>
    </w:p>
    <w:p>
      <w:r>
        <w:rPr>
          <w:b/>
        </w:rPr>
        <w:t>E. 14.5</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14.6</w:t>
      </w:r>
    </w:p>
    <w:p>
      <w:r>
        <w:t>Aux termes de l'art. 36 al. 4 OLAA, il est équitablement tenu compte des aggravations prévisibles de l'atteinte à l'intégrité ; une révision n'est possible qu'en cas exceptionnel, si l'aggravation est importante et n'était pas prévisible.![endif]&gt;![if&gt;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(arrêt du Tribunal fédéral 8C_745/2022 du 29 juin 2023 consid. 3.3 et les références). Si l'atteinte à la santé évolue dans le cadre du pronostic initial, il est exclu de réviser une indemnité pour atteinte à l'intégrité une fois que celle-ci a été accordée. En revanche, l'indemnité peut être réévaluée si l'atteinte à l'intégrité s'aggrave ultérieurement de manière significative (d’au moins 5%) par rapport au pronostic (cf. arrêt du Tribunal fédéral 8C_746/2022 du 18 octobre 2023 consid. 2.2. et les références ; RAMA 1991 n° U 132 p. 305).</w:t>
      </w:r>
    </w:p>
    <w:p>
      <w:r>
        <w:rPr>
          <w:b/>
        </w:rPr>
        <w:t>E. 14.7</w:t>
      </w:r>
    </w:p>
    <w:p>
      <w:r>
        <w:t>À teneur de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gain.![endif]&gt;![if&gt; En vertu de l'art. 47 OLAA, l'ampleur de la réduction des rentes et des indemnités pour atteinte à l'intégrité, qui est opérée en raison de causes étrangères à l'accident, est déterminée en fonction du rôle de celles-ci dans l'atteinte à la santé ou le décès ; la situation personnelle et économique de l'ayant droit peut également être prise en considération. L’art. 36 al. 2 LAA repose sur l'idée qu'une atteinte à la santé peut ne pas avoir été causée uniquement par un accident mais conjointement à d'autres facteurs étrangers à celui-ci, alors que l'assurance-accidents n'intervient que pour les conséquences des accidents. Cette disposition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(ATF 126 V 116 consid. 3b ; 121 V 326 consid. 3c et les références ; arrêt du Tribunal fédéral 8C_277/2007 du 2 avril 2008 consid. 4). Contrairement aux rentes d'invalidité, les indemnités pour atteinte à l'intégrité peuvent être réduites en raison d'un état préexistant, même si cet état n'a eu aucune incidence sur la capacité de gain de la personne assurée avant l'accident (arrêt du Tribunal fédéral 8C_91/2023 du 28 septembre 2023 consid. 7.1 et les références).</w:t>
      </w:r>
    </w:p>
    <w:p>
      <w:r>
        <w:rPr>
          <w:b/>
        </w:rPr>
        <w:t>E. 15</w:t>
      </w:r>
    </w:p>
    <w:p>
      <w:r>
        <w:t>![endif]&gt;![if&gt;</w:t>
      </w:r>
    </w:p>
    <w:p>
      <w:r>
        <w:rPr>
          <w:b/>
        </w:rPr>
        <w:t>E. 15.1</w:t>
      </w:r>
    </w:p>
    <w:p>
      <w:r>
        <w:t>En l'espèce, l'intimée s'est appuyée sur le rapport du 24 janvier 2023 du Dr C______ pour allouer au recourant une IPAI de 10%. ![endif]&gt;![if&gt;</w:t>
      </w:r>
    </w:p>
    <w:p>
      <w:r>
        <w:rPr>
          <w:b/>
        </w:rPr>
        <w:t>E. 15.2</w:t>
      </w:r>
    </w:p>
    <w:p>
      <w:r>
        <w:t>Dans ce rapport, le Dr C______ a, après avoir étudié le dossier du recourant, y compris radiologique (dossier intimée pièce 222 p.1-8 ; pièce 246 p. 3), et procédé à son examen clinique (pièce 246 p. 4-5), indiqué que l'état dégénératif de la coiffe des rotateurs gauche avait été aggravé par l'accident (pièce 246 p. 6). Ainsi, contrairement à ce que paraît croire le recourant, le médecin d'arrondissement a bel et bien reconnu l'existence d'un lien de causalité naturelle entre l'accident et la rupture de l'insertion du sus-épineux de l'épaule gauche. Il sera rappelé qu'en présence d'une atteinte à la santé physique, comme en l'occurrence, le problème de la causalité adéquate ne se pose guère, car l'assureur-accidents répond aussi des atteintes qui ne se produisent habituellement pas selon l'expérience médicale (arrêt du Tribunal fédéral 8C_614/2020 du 7 septembre 2021 consid. 2.1). ![endif]&gt;![if&gt; Ceci étant dit, en connaissance des limitations du recourant (pièce 246 p. 5), le Dr C______ a mentionné que l'état de la coiffe, décompensé par l'accident, était assimilable, au jour de son examen, à une périarthrite scapulo-humérale moyenne à grave (pièce 246 p. 6). En se référant à la table 1 d'indemnisation de la SUVA (taux d'atteinte à l'intégrité résultant des troubles fonctionnels des membres supérieurs), il a relevé qu'une périarthrite scapulo-humérale moyenne correspond à un taux de 10%, et celle grave à un taux de 25%. Il a constaté que l'atteinte du recourant se situait entre ces deux taux, et l'a évaluée à 15%. De ce taux, il a déduit 5% en raison de l'existence de l'état antérieur, ce qui portait le taux de l'atteinte à l'intégrité final à 10% (pièce 245 p. 1).</w:t>
      </w:r>
    </w:p>
    <w:p>
      <w:r>
        <w:rPr>
          <w:b/>
        </w:rPr>
        <w:t>E. 15.3</w:t>
      </w:r>
    </w:p>
    <w:p>
      <w:r>
        <w:t>Le recourant conteste ce taux, en se limitant à substituer sa propre évaluation à celle du Dr C______. Il prétend que son épaule bloquée « en abduction » justifie l'octroi d'une IPAI de 30%. Or, ladite table prévoit ce taux d'indemnisation pour une épaule bloquée « en adduction ». Aucun avis médical au dossier ne procède à une évaluation différente de l'atteinte à l'intégrité ou ne permet de mettre en doute l'appréciation du Dr C______, notamment s'agissant de la répartition entre la part accidentelle (10%) et celle maladive (5%) définie par celui-ci. En particulier, dans son rapport du 18 janvier 2023 (que cite le recourant), le Dr D______ ne s'est pas prononcé sur l'IPAI, étant souligné que les douleurs persistantes de l'épaule gauche dont ce spécialiste a fait état étaient connues du médecin d'arrondissement de la SUVA. C'est le lieu de rappeler que l'indemnité pour atteinte à l'intégrité vise précisément à compenser le préjudice immatériel (douleurs, souffrances, diminution de la joie de vivre, limitation des jouissances offertes par l'existence, etc.) qui perdure au-delà de la phase du traitement médical et dont il y a lieu d'admettre qu'il subsistera la vie durant. ![endif]&gt;![if&gt; Enfin, aucun rapport médical n'indique que la prévisibilité d'une aggravation importante de l'atteinte apparaissait vraisemblable, au jour de l'examen.</w:t>
      </w:r>
    </w:p>
    <w:p>
      <w:r>
        <w:rPr>
          <w:b/>
        </w:rPr>
        <w:t>E. 15.4</w:t>
      </w:r>
    </w:p>
    <w:p>
      <w:r>
        <w:t>En conclusion, aucun avis médical ne relève que l'appréciation du médecin d'arrondissement de la SUVA repose sur des faits médicaux inexacts ou sur une mauvaise application des règles d'indemnisation de l'atteinte à l'intégrité, étant précisé que, quoi qu'en dise le recourant, la réduction de l'indemnité pour tenir compte de l'état dégénératif est conforme à l'art. 36 al. 2 LAA, en vertu duquel les indemnités pour atteinte à l'intégrité sont réduites de manière équitable lorsque l'atteinte à la santé n'est que partiellement imputable à l'accident. ![endif]&gt;![if&gt;</w:t>
      </w:r>
    </w:p>
    <w:p>
      <w:r>
        <w:rPr>
          <w:b/>
        </w:rPr>
        <w:t>E. 16</w:t>
      </w:r>
    </w:p>
    <w:p>
      <w:r>
        <w:t>En conséquence, le recours est rejeté. ![endif]&gt;![if&gt;</w:t>
      </w:r>
    </w:p>
    <w:p>
      <w:r>
        <w:rPr>
          <w:b/>
        </w:rPr>
        <w:t>E. 17</w:t>
      </w:r>
    </w:p>
    <w:p>
      <w:r>
        <w:t>Le recourant, qui succombe, n’a pas droit à des dépens (art. 61 let. g LPGA a contrario ).![endif]&gt;![if&gt; L'intimée, représentée, qui obtient gain de cause, conclut à l’octroi de dépens. Toutefois, étant une organisation chargée de tâches de droit public (ATF 112 V 44 consid. 3), et compte tenu du fait que le recours n'est ni téméraire ni ne témoigne de légèreté et que la cause ne saurait être considérée comme complexe, l'intimée n’a pas droit à des dépens (dans ce sens : ATAS/1076/2018 du 21 novembre 2018 consid. 12).</w:t>
      </w:r>
    </w:p>
    <w:p>
      <w:r>
        <w:rPr>
          <w:b/>
        </w:rPr>
        <w:t>E. 18</w:t>
      </w:r>
    </w:p>
    <w:p>
      <w:r>
        <w:t>Pour le surplus, la procédure est gratuite (art. 61 let. f bis LPGA a contrario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