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A/3023/2015 vom 19. Januar 2016</w:t>
      </w:r>
    </w:p>
    <w:p>
      <w:r>
        <w:t>GE Cour de justice, 2016-01-19, FR</w:t>
      </w:r>
    </w:p>
    <w:p>
      <w:r>
        <w:rPr>
          <w:b/>
        </w:rPr>
        <w:t xml:space="preserve">Quelle: </w:t>
      </w:r>
      <w:r>
        <w:t>https://mcp.opencaselaw.ch/entscheid/ge_gerichte_A_3023_2015</w:t>
      </w:r>
    </w:p>
    <w:p>
      <w:r>
        <w:t>FR: GE_GERICHTE A/3023/2015 du 19 janvier 2016</w:t>
      </w:r>
    </w:p>
    <w:p>
      <w:r>
        <w:t>IT: GE_GERICHTE A/3023/2015 del 19 gennaio 2016</w:t>
      </w:r>
    </w:p>
    <w:p>
      <w:pPr>
        <w:pStyle w:val="Heading2"/>
      </w:pPr>
      <w:r>
        <w:t>Regeste</w:t>
      </w:r>
    </w:p>
    <w:p>
      <w:r>
        <w:t>INDEMNITÉ(EN GÉNÉRAL) ; ÉGALITÉ DE TRAITEMENT ; ÉGALITÉ DE RÉMUNÉRATION ; DROIT ACQUIS ; CONSTITUTIONNALITÉ ; PRINCIPE DE LA BONNE FOI ; PROPORTIONNALITÉ ; INTERDICTION DE L'ARBITRAIRE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 Cst.8; Cst.29.al2; LTrait.23A; LTrait.23B</w:t>
      </w:r>
    </w:p>
    <w:p>
      <w:pPr>
        <w:pStyle w:val="Heading2"/>
      </w:pPr>
      <w:r>
        <w:t>Volltext</w:t>
      </w:r>
    </w:p>
    <w:p>
      <w:r>
        <w:t>Genève Cour de justice (Cour de droit public) Chambre administrative 19.01.2016 A/3023/2015</w:t>
      </w:r>
    </w:p>
    <w:p>
      <w:r>
        <w:t>INDEMNITÉ(EN GÉNÉRAL) ; ÉGALITÉ DE TRAITEMENT ; ÉGALITÉ DE RÉMUNÉRATION ; DROIT ACQUIS ; CONSTITUTIONNALITÉ ; PRINCIPE DE LA BONNE FOI ; PROPORTIONNALITÉ ; INTERDICTION DE L'ARBITRAIRE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 Cst.8; Cst.29.al2; LTrait.23A; LTrait.23B</w:t>
      </w:r>
    </w:p>
    <w:p>
      <w:r>
        <w:t>A/3023/2015 ATA/45/2016 du 19.01.2016 ( FPUBL ) , REJETE Descripteurs : INDEMNITÉ(EN GÉNÉRAL) ; ÉGALITÉ DE TRAITEMENT ; ÉGALITÉ DE RÉMUNÉRATION ; DROIT ACQUIS ; CONSTITUTIONNALITÉ ; PRINCIPE DE LA BONNE FOI ; PROPORTIONNALITÉ ; INTERDICTION DE L'ARBITRAIRE Normes : Cst.8; Cst.29.al2; LTrait.23A; LTrait.23B Résumé :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 En fait En droit RÉPUBLIQUE ET CANTON DE GENÈVE POUVOIR JUDICIAIRE A/3023/2015 - FPUBL ATA/45/2016 COUR DE JUSTICE Chambre administrative Arrêt du 19 janvier 201 6 dans la cause Madame A______ représentée par Me Malek Adjadj, avocat contre HÔPITAUX UNIVERSITAIRES DE GENÈVE EN FAIT 1) Madame A______ est [fonction] aux Hôpitaux universitaires de Genève (ci-après : HUG). En juillet 2015, son traitement se situe en classe 27 annuité 2. Elle touche alors l’indemnité de 8.3 % prévue par l’ancien art. 23A de la loi concernant le traitement et les diverses prestations alloués aux membres du personnel de l’Etat et des établissements hospitaliers du 21 décembre 1973 (LTrait - B 5 15). 2) Le 1 er janvier 2009 est entrée en vigueur cette disposition, dont la teneur est la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 Ce même jour, est également entrée en vigueur une modification du règlement d’application de la loi concernant le traitement et les diverses prestations alloués aux membres du personnel de l’Etat et des établissements hospitaliers du 17 octobre 1979 (RTrait - B 5 15.01). Y était introduite une annexe comportant la « liste des fonctions de cadres supérieurs, classe 27 et plus, avec responsabilités hiérarchiques ». Aux points 17.15 et 17.16 de ladite liste figurait la fonction de directeur adjoint des soins attribuée à la classe 27. Cette fonction est mentionnée aux points 16.15 et 16.16 de ladite liste dans sa teneur actuelle. 3) 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 4) L’ancien art. 23A LTrait est abrogé par la loi 11’328. Parallèlement à cette abrogation, la loi 11’328 prévoit l’adoption du nouvel art. 23B LTrait, dont la teneur est la suivante : « Dès l’entrée en vigueur de la loi 11’328, du 29 janvier 2015, et jusqu’à l’entrée en vigueur d’une nouvelle évaluation des fonctions mais au plus tard jusqu’au 31 décembre 2017, les médecins des HUG dès la classe 27 exerçant des responsabilités hiérarchiques peuvent percevoir une indemnité, égale à 8.3 % de leur salaire annuel, versée en 13 mensualités. Le traitement, indemnité incluse, ne peut dépasser le montant correspondant à la classe 33, position 14, de l’échelle des traitements. Le Conseil d’État fixe par règlement la liste des bénéficiaires ».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Les éléments suivants ressortaient des différentes interventions devant ladite commission.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5) 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 6) Par décision du 6 juillet 2015, les HUG ont confirmé à Mme A______, suite à sa rencontre du même jour avec le directeur général des HUG, la suppression de son indemnité de 8.3 % dès le 1 er août 2015 en application de l’art. 23B LTrait, en y annexant deux courriers émanant respectivement de la commission des finances du Grand Conseil et du Conseil d’État, non versés à la présente procédure. 7) Par arrêt du 30 juillet 2015 ( ACST/13/2015 ), la chambre constitutionnelle de la Cour de justice (ci-après : la chambre constitutionnelle) a rejeté le recours formé par des tiers contre la loi 11’328, dans la limite de leurs conclusions visant l’annulation de l’abrogation de l’art. 23A LTrait, à l’exclusion de l’art. 23B LTrait. Elle a écarté les griefs exposés de manière détaillée, à savoir la violation de droits acquis fondés sur la protection de la bonne foi et sur l’interdiction de l’arbitraire ainsi que le grief relatif à l’absence d’un régime transitoire. 8) Le 7 septembre 2015, Mme A______ a interjeté recours contre la décision du 6 juillet 2015 des HUG auprès de la chambre administrative de la Cour de justice (ci-après : la chambre administrative), en concluant à son annulation. Après avoir refusé dans un premier temps d’appliquer la loi 11’328, les HUG, sur insistance du Conseil d’État, avaient fini par supprimer l’indemnité de 8.3 % aux cadres supérieurs non médecins, en application de l’art. 23B LTrait. Or, cette décision violait son droit d’être entendu, dans la mesure où elle n’avait pas pu faire valoir son point de vue, en particulier s’agissant de l’opportunité - notamment temporelle - de cette décision, avant que celle-ci ne soit prise. Cette violation ne pouvait pas être réparée devant la chambre administrative, cette dernière n’étant pas habilitée à se prononcer sur l’opportunité de la décision litigieuse. Si elle reconnaissait que cette décision respectait la loi 11’328, elle remettait en cause la conformité de celle-ci au droit supérieur, au motif que cette loi portait atteinte à ses droits acquis garantis directement par le texte de l’ancien art. 23A LTrait. Afin d’améliorer la rémunération des cadres supérieurs, cette disposition prévoyait le versement de l’indemnité litigieuse jusqu’à l’entrée en vigueur de la nouvelle évaluation des fonctions. Jusqu’alors, elle pouvait compter sur l’octroi de l’indemnité litigieuse, ce d’autant plus que les HUG avaient dans un premier temps, suite à l’entrée en vigueur de la loi 11’328, refusé de la supprimer. Imprévisible et lui réduisant son traitement mensuel de CHF 938.90, la décision querellée violait également le principe de la bonne foi. En ne prévoyant pas un régime transitoire, la loi 11’328 violait aussi ce principe. La décision litigieuse devait être également annulée au motif que la loi 11’328, sur laquelle elle se fondait, renfermait une violation du principe de l’égalité de traitement. En supprimant l’indemnité de 8.3 % à tous les cadres supérieurs, à l’exception des médecins des HUG à partir de la classe 27 exerçant des responsabilités hiérarchiques, ladite loi traitait différemment, d’une part, les cadres supérieurs des HUG par rapport aux autres cadres supérieurs de l’État, et, d’autre part, parmi les cadres des HUG, les médecins des autres cadres des HUG. Le critère, invoqué lors du deuxième débat de la loi par le Grand Conseil, était la crainte du législateur d’assister à un « exode des médecins cadres des HUG » vers le secteur privé, plus rémunérateur, en cas de suppression de l’indemnité litigieuse. Ce critère ne constituait pas un motif objectif justifiant ces différences de traitement. Premièrement, la concurrence du secteur privé s’exerçait non seulement dans le domaine médical, mais également dans d’autres domaines (juridique, fiscal, managérial, éducatif). La fuite des cerveaux exposait de manière critique tant le fonctionnement des services des HUG, que celui de toutes les activités stratégiques de l’État. Restreindre ce risque au seul domaine médical était incompréhensible et trahissait une méconnaissance du marché de l’emploi genevois et suisse. Deuxièmement, l’intérêt des médecins de travailler aux HUG ne se limitait pas au seul aspect financier. Les HUG étaient un établissement universitaire avec des fonctions académiques ainsi que des services et des pôles de recherches de pointe, éléments qui participaient aussi au choix des médecins de travailler aux HUG. Enfin, la situation d’un médecin chef de service ou d’un médecin adjoint aux HUG n’était pas dissemblable de sa propre situation au point de justifier une telle différence de traitement. 9) Le 5 octobre 2015, les HUG ont pris note du présent recours et s’en sont remis à justice s’agissant de sa recevabilité et de son bien-fondé, sans autre explication ni pièce complémentaire. 10) Le 8 octobre 2015, les parties ont été informées que la cause était gardée à juger. EN DROIT 1) Interjeté en temps utile devant la juridiction compétente contre la décision des HUG du 6 juillet 2015, le recours est recevable (art. 132 de la loi sur l'organisation judiciaire du 26 septembre 2010 – LOJ - E 2 05 ; art. 4 al. 1 let. a, art. 5 let. e, art. 17 al. 3, art. 62 al. 1 let. a et art. 63 al. 1 let. b de la loi sur la procédure administrative du 12 septembre 1985 - LPA - E 5 10 ; art. 5 al. 1 de la loi sur les établissements publics médicaux – LEPM – K 2 05). 2) La recourante invoque une violation du droit d’être entendu au motif qu’elle n’a pas pu faire valoir son point de vue, en particulier s’agissant de l’opportunité, notamment temporelle, de la décision litigieuse, avant que celle-ci ne soit rendue. a. Tel qu’il est garanti par l’art. 29 al. 2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 127 I 52 consid. 2b ; arrêt du Tribunal fédéral 8C_643/2011 du 9 mars 2012 consid. 4.3 ; ATA/1297/2015 du 8 décembre 2015 consid. 12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8C_643/2011 précité consid. 4.3).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(arrêt du Tribunal fédéral 8C_643/2011 précité consid. 4.3 et les références citées ; ATA/1297/2015 précité consid. 12 et les références citées). b. Une décision entreprise pour violation du droit d’être entendu n’est pas nulle mais annulable (ATF 136 V 117 ; 133 III 235 consid. 5.3 ; arrêts du Tribunal fédéral 2D_5/2012 du 19 avril 2012 consid. 2.3 ; 1C_568/2011 du 13 février 2012 consid. 3 ; ATA/597/2015 du 9 juin 2015 consid. 6c et les arrêts cités).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ATA/666/2015 du 23 juin 2015 consid. 2b et les arrêts cités).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du 23 juin 2015 consid. 2b ; ATA/451/2014 du 17 juin 2014 consid. 4 et les arrêts cités). c. En l’espèce, la recourante a rencontré en personne le directeur général des HUG le 6 juillet 2015, ce qui ressort de la décision querellée. Il n’est pas contesté que cette rencontre portait sur la suppression de l’indemnité litigieuse. Même si on admettait que l’intéressée ne pouvait pas s’attendre à ce que cette rencontre porte sur cette question et qu’elle n’ait en conséquence pas pu, lors de ladite réunion, faire valoir son point de vue de manière suffisamment efficace, et ce malgré le fait que les travaux législatifs relatifs à la suppression de l’indemnité litigieuse aient été largement relayés par la presse locale, la chambre de céans, habilitée à revoir les faits et le droit (art. 61 al. 1 LPA), dispose, au sujet de la suppression de l’indemnité litigieuse, du même pouvoir d’examen que les HUG. En effet, la loi 11’328 ne laisse aucune marge de manœuvre à ces derniers, dans la mesure où elle abroge l’ancien art. 23A LTrait sur la base duquel la recourante percevait l’indemnité litigieuse. N’étant pas contesté que l’intéressée ne remplit pas les conditions de l’art. 23B LTrait, les HUG n’avaient, en l’état du droit applicable, pas d’autre choix que de lui supprimer le versement de l’indemnité litigieuse. Le fait qu’un recours ait été pendant, au moment de rendre la décision querellée, devant la chambre constitutionnelle et que deux nouveaux projets de lois relatifs à l’indemnité litigieuse aient entretemps été déposés devant le Grand Conseil et soient en cours d’examen, ne change rien à l’état de la législation applicable à la question litigieuse depuis le 28 mars 2015, que les HUG sont tenus de respecter. L’abrogation de l’ancien art. 23A LTrait et la teneur de l’art. 23B LTrait ne permettent pas aux HUG de statuer en opportunité sur la question de l’octroi de l’indemnité de 8.3% à la recourante, y compris s’agissant d’une appréciation temporelle, dans la mesure où la loi 11’328 est entrée en vigueur le 28 mars 2015 et qu’elle doit depuis lors être appliquée. Le fait que les HUG aient tardé à la mettre en œuvre ne signifie pas qu’ils aient agi à bon droit. La chambre administrative peut donc réparer une éventuelle violation du droit d’être entendu de la recourante s’agissant de la suppression de l’indemnité litigieuse, l’existence d’une telle violation pouvant dès lors rester ouverte, la recourante ayant pu faire efficacement valoir son droit d’être entendu et ses arguments dans son acte de recours devant la chambre administrative. Le recours sera donc rejeté sur ce point. 3) La recourante considère que la loi 11’328 viole ses droits acquis fondés directement sur le texte de l’ancien art. 23A LTrait. Ce grief se confond avec celui soulevé par des cadres visés par cette disposition, devant la chambre constitutionnelle dans le cadre du recours contre la loi 11’328. La recourante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 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Par ailleurs, le fait que la recourante n’ait elle-même pas interjeté recours contre la loi 11’328 auprès de la chambre constitutionnelle ne saurait l’empêcher de soulever le grief dans le cadre d’un contrôle concret. En effet, d’une part, le recours auprès de la chambre constitutionnelle est facultatif, comme cela ressort clairement de l’art. 124 de la Constitution de la République et canton de Genève du 14 octobre 2012 (Cst-GE A 2 00). D’autre part,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MALINVERNI/Michel HOTTELIER, Droit constitutionnel suisse, vol. II, 3 ème éd., 2013, p. 665 ss ; Pierre MOOR/Alexandre FLÜCKIGER/Vincent MARTENET, Droit administratif, vol. I, 3 ème éd., 2012, p. 318, 323s et 345 ss). En l’espèce, vu que la recourante soutient bénéficier de droits acquis tirés du texte de l’ancien art. 23A LTrait et en l’absence d’éléments nouveaux déterminants, la chambre administrative fait sienne l’argumentation de la chambre constitutionnelle, exposée dans son arrêt ACST/13/2015 . Quant au contrôle concret de cette disposition, la recourante ne soulève, dans le présent recours, aucun élément découlant de sa situation particulière qui tendrait à démontrer le fait qu’une assurance spécifique au sujet de l’octroi de l’indemnité litigieuse lui aurait été personnellement donnée. Rien dans le dossier ne permet non plus d’y conclure. Par conséquent, conformément au droit et à la jurisprudence développés au considérant 6 de l’arrêt ACST/13/2015 , le versement de l’indemnité litigieuse ne lui a pas été garanti et ne saurait donc être considéré comme acquis. Le recours doit donc être rejeté sur ce point. 4) La recourante estime que tant la loi 11’328 que la décision litigieuse violent le principe de la bonne foi, en raison de l’absence d’un régime transitoire dans ladite loi et de l’effet imprévisible et conséquent de celle-ci sur son traitement mensuel. Ce grief, qui vise dans la présente procédure la décision litigieuse, a été examiné par la chambre constitutionnelle dans son arrêt ACST/13/2015 ,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recourants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 ACST/13/2015 précité consid. 7 et 8c). 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d’application, à savoir in casu les HUG. S’il ne fait pas de doute que cette loi en tant qu’elle abrogeait l’ancien art. 23A LTrait, qui définissait la catégorie des personnes concernées par cette disposition et fixait les critères du versement de l’indemnité litigieuse, devait être concrétisée dans le cas de la recourante par une décision afin de lui en opposer les effets juridiques, il n’en demeure pas moins qu’en rendant celle-ci, les HUG étaient liés par la loi 11’328. Le fait qu’ils aient tardé à appliquer cette dernière, n’y change rien et ne saurait constituer une assurance concrète ou un comportement déterminé, dont l’intéressée ne pouvait se rendre compte immédiatement de l’inexactitude, qui serait susceptible de lier les HUG en vertu du principe de la bonne foi au sens des art. 5 al. 3 et 9 Cst. S’agissant du grief susmentionné, la chambre administrative fait sienne l’argumentation de la chambre constitutionnelle, exposée dans son arrêt ACST/13/2015 , portant sur la conformité de la loi au droit supérieur. En supprimant l’indemnité litigieuse à la recourante dès le mois d’août 2015, les HUG ont agi dans le respect de la loi 11’328, qui est entrée en vigueur certes rapidement mais sans violer le principe de la bonne foi ni celui de la proportionnalité, et ce en laissant quatre mois à l’intéressée avant de la mettre en œuvre.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aux HUG lorsqu’ils ont rendu la décision litigieuse, ce d’autant plus qu’ils ont attendu quatre mois avant de l’appliquer. Par conséquent, le recours sera rejeté sur ce point. 5) La recourante invoque une violation, par la loi 11’328, du principe de l’égalité de traitement, d’une part, entre les cadres supérieurs des HUG et les autres cadres supérieurs de l’État, et, d’autre part, au sein des HUG, entre les cadres médecins et les autres cadres. Elle considère également que la situation d’un médecin chef de service ou d’un médecin adjoint aux HUG n’est pas différente de sa propre situation au point de justifier une différence de traitement correspondant à la suppression de l’indemnité litigieuse. a.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FLÜCKIGER/Vincent MARTENET, op. cit., p. 345 ss n. 2.7.3). Cette compétence découle du principe de la primauté du droit fédéral sur le droit des cantons, ancré à l’art. 49 al.1 Cst. (ATF 138 I 410 consid. 3.1 p. 414 ; ATA/582/2015 précité). D’une manière générale, les lois cantonales ne doivent rien contenir de contraire à la Cst., aux lois et ordonnances du droit fédéral (ATF 127 I 185 consid. 2 p. 187 ; ATA/121/2013 du 26 février 2013 consid. 4 et les arrêts cités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ATA/582/2015 précité ; Pierre MOOR/Alexandre FLÜCKIGER/Vincent MARTENET, op. cit., p. 352 ss n. 2.7.4.2). b.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c.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ATF 138 I 265 consid. 4.1 ; ATF 131 I 1 consid. 4.2 ; ATF 131 I 394 consid. 4.2 ; ATF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ATF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du 11 octobre 2012 consid. 3.2.2). d.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 e.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f. L’ancien Tribunal administratif, dont la jurisprudence est reprise par la chambre administrative, a confirmé la décision du Conseil d’État de ne pas inclure les commissaires de police situés en classe 27 dans la liste des bénéficiaires de l’indemnité prévue à l’ancien art. 23A LTrait, faute d’exercer des responsabilités hiérarchiques. D’une part, la définition de cette notion-ci figurant dans une note du chef du département concerné se fondait sur des critères objectifs et aisément applicables. D’autre part, le Conseil d’État disposait, sur cette question, d’un large pouvoir d’appréciation ( ATA/664/2010 du 28 septembre 2010 consid. 6 et les références citées). g. Dans une affaire zurichoise de 2012, le Tribunal fédéral a admis une différence de rémunération de 13 % par année entre les membres de juridictions différentes (ATF 138 I 321 consid. 6). Il a rappelé dans cet arrêt que l’admissibilité des différences de salaire dépendait de l’ampleur de la différence et renvoyé à la jurisprudence fédérale relative à la rémunération des enseignants (ATF 138 I 321 consid. 6 ; arrêt du Tribunal fédéral 8C_991/2010 du 28 juin 2011 consid. 5.5). Des différences de salaire, à l’intérieur des différentes catégories du corps enseignant suivantes, ont été reconnues comme soutenables par la jurisprudence fédérale : environ 31,6 % entre des remplaçants et des enseignants titularisés (ATF 129 I 161 ) ; une différence de l’ordre de 22 % entre les maîtres de l’école primaire et du cycle d’orientation (ATF 121 I 49 ) ; environ 6,6 %, respectivement 12 %, entre les enseignants principaux et les chargés de cours, même si dans le cas concret il n’y avait pas de différence de formation professionnelle, de responsabilité et de domaine d’activité (ATF 121 I 102 ; arrêt du Tribunal fédéral 2P.325/1992 du 10 décembre 1993 consid. 5a/bb) ; une différence de rémunération d’environ 20-26 % entre deux catégories d’enseignants, dont la formation était différente, mais qui enseignaient en partie dans la même école (arrêt du Tribunal fédéral 2P.77/1996 du 27 septembre 1996 consid. 2) ; un écart de presque 10 % entre des logopédistes avec une maturité comme formation de base et des logopédistes avec un diplôme d’instituteur (ATF 123 I 1 ) ; 6,73 % de différence de salaire et en plus 7,41 % de différence dans le nombre d’heures obligatoires, entre des enseignants de branches commerciales et des enseignants de branches pratiques (arrêt du Tribunal fédéral 2P.249/1997 du 10 août 1998) ; environ 18 % entre des enseignants de l’école secondaire et des enseignants d’une école professionnelle, malgré une formation identique (arrêt du Tribunal fédéral 1P.413/1999 du 6 octobre 1999). h. Dans le canton de Genève, la rémunération des membres du personnel de l’État de Genève, y compris du personnel des établissements publics médicaux tels que des HUG (art. 1 let. a LEPM), (ci-après : les membres du personnel) est régie par la LTrait (art. 1 al. 1 let. b et e LTrait). Cette loi distingue le traitement, réglé à son titre II, et les « diverses prestations » prévues à son titre III. Par diverses prestations, il faut entendre les prestations allouées aux membres du personnel en sus du traitement fixé conformément au titre II (art. 15 LTrait). Ces diverses prestations sont exhaustivement énumérées aux art. 16 ss LTrait. Elles comprenaient, jusqu’à l’entrée en vigueur de la loi 11’328 le 28 mars 2015, l’indemnité litigieuse fixée dans l’ancien art. 23A LTrait et, depuis cette date, l’indemnité prévue à l’art. 23B LTrait. Quant au traitement, il est, en règle générale, déterminé suivant l’échelle prévue à l’art. 2 LTrait, déclinée en classe et position (ou annuité).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ou l’organe de nomination fixe la rémunération des membres du personnel dans un acte d’engagement ou de nomination, en application de l’échelle des traitements, du tableau de classement des fonctions et des principes posés à l’art. 11 (art. 5 LTrait). Toutefois, l’art. 3 LTrait donne la possibilité au Conseil d’État de prévoir des traitements « hors classes ». Selon l’art. 3 al. 1 LTrait, le Conseil d’État peut, pour tenir compte de circonstances exceptionnelles, 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L’art. 3 al. 2 LTrait précise qu’il ne peut prendre une telle décision que sous réserve de l’art. 96 Cst-GE. Cet article dispose : « Le Grand Conseil adopte le budget annuel, autorise les dépenses et approuve les comptes annuels. Il fixe les impôts. ». i. Selon l’art. 6 LTrait, l’autorité d’engagement et de nomination est le Conseil d’État, respectivement pour les établissements hospitaliers, la commission administrative de l’établissement. Les HUG sont un établissement public médical doté de la personnalité juridique (art. 1 let. a et art. 5 al. 1 LEPM). Ils sont placés sous la surveillance et le contrôle du Conseil d’État, et plus spécialement du département compétent (art. 5 al. 3 LEPM). Les budgets, les comptes rendus, les tarifs d’hospitalisation et ceux des soins et des prestations médico-ambulatoires, la nomination et la révocation des employés principaux, dont la liste est dressée par le Conseil d’État (art. 5 al. 5 LEPM), les règlements internes et le statut du personnel doivent être approuvés par le Conseil d’État (art. 5 al. 4 LEPM). Le conseil d’administration, pouvoir supérieur des HUG (art. 7 al. 1 LEPM), a notamment pour attribution d’adopter chaque année le budget d’exploitation et les états financiers qui seront approuvés par le Grand Conseil (art. 7 al. 2 let. f ch. 1 et 2 LEPM), ainsi que de nommer et révoquer les fonctionnaires des HUG (art. 7 al. 2 let. l LEPM). L’organisation des soins est réglée dans un règlement adopté par le conseil d’administration et approuvé par le Conseil d’État (art. 19 al. 1 LEPM). Les HUG sont organisés en services médicaux, regroupés en départements, et en services d’appui. Les départements médicaux correspondent, dans la règle, aux départements de la section clinique de la faculté de médecine (art. 19 al. 2 LEPM). Ils sont dirigés par des professeurs ordinaires de la faculté de médecine, nommés par le conseil d’administration. Dans la règle, les chefs des départements médicaux sont les responsables de départements de la faculté de médecine (art. 21A al. 1 LEPM). Les chefs des départements médicaux sont responsables de la bonne marche médicale, administrative et financière des services de leur département (art. 21A al. 3 phr. 1 LEPM). Quant aux médecins chefs de service, ils sont engagés par le conseil d’administration des HUG et le recteur de l’Université de Genève ; leur statut est réglé par un règlement spécifique sur la collaboration hospitalo-universitaire et le statut du corps professoral (art. 21B al. 1 LEPM). À certaines conditions, le conseil d’administration des HUG peut exceptionnellement procéder seul à la nomination d’un chef de service hospitalier n’exerçant pas simultanément une fonction professorale (art. 21B al. 2 LEPM). j.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en particulier au sein des HUG entre les cadres médecins et les autres cadres. Cette distinction est cependant basée sur la qualification professionnelle des cadres fondée sur leur formation nécessaire à l’exercice de leur fonction. Il s’agit ainsi d’un critère objectif admis par la jurisprudence fédérale. Quant au caractère raisonnable de la distinction précitée entre les cadres dès la classe 27 exerçant des responsabilités hiérarchiques, il est certes discutable dans la mesure où l’État a le devoir d’assurer le niveau de toutes les prestations lui incombant de par la loi, quel que soit le secteur public concerné. Toutefois, la différence de rémunération litigieuse ne résulte pas de l’échelle des traitements, mais du versement d’une indemnité spéciale à caractère facultatif visant à compléter le salaire de base, et ce pendant une durée limitée dans le temps au 31 décembre 2017. Limitée à 8.3 % du salaire, l’indemnité litigieuse entraîne une différence salariale, dont l’ampleur est considérée admissible par la jurisprudence fédérale. Elle ne repose en outre sur aucun élément considéré discriminatoire au sens de l’art. 8 al. 2 Cst. Au surplus, la recourante ne soutient pas que le travail d’un cadre médecin des HUG est similaire au sien. Elle admet l’existence d’une différence entre sa situation personnelle et celle d’un cadre médecin, mais estime injustifiée l’ampleur de la différence de traitement entre ces deux types de situation sans en étayer davantage les raisons. Conformément à la jurisprudence susmentionnée, cet argument ne peut être suivi vu la différence limitée à 8.3 % du salaire entre deux fonctions objectivement différentes. En ce qui concerne la comparaison salariale avec le secteur privé, ayant à l’origine motivé l’adoption de l’ancien art. 23A LTrait, elle ne constitue pas un élément permettant de qualifier d’insoutenable ou d’arbitraire le critère de distinction retenu par l’art. 23B LTrait en faveur des seuls médecins cadres des HUG. En effet, premièrement, il n’est pas contesté que les exigences liées à l’exercice de responsabilités hiérarchiques sont déjà prises en compte, à travers des critères figurant à l’art. 4 al. 2 LTrait, par la classe attribuée aux postes des cadres concernés par la suppression de l’ancien art. 23A LTrait. Deuxièmement, l’art. 3 LTrait permet au Conseil d’État, sur demande des HUG s’agissant du personnel de cet établissement, de fixer un traitement « hors classe » pour des fonctions exigeant des connaissances tout à fait spéciales ou comportant des responsabilités particulièrement importantes. Par ce biais, l’État dispose du moyen d’attirer et de rémunérer les compétences tout à fait particulières et absolument nécessaires à son bon fonctionnement, et ce sans devoir modifier sa grille salariale ni adopter d’indemnité spéciale. Troisièmement, le niveau des salaires des cadres dans le secteur privé est variable suivant la branche d’activité concernée, ce qui rend la comparaison difficile. À cela s’ajoute la nature diamétralement opposée entre les prestations assignées par les lois à l’État et celles que les entreprises du secteur privé choisissent librement d’offrir en échange d’une rémunération fixée par les lois du marché et par la politique de l’entreprise concernée. La motivation du secteur privé, bien qu’elle puisse aussi poursuivre un but idéal, est en général essentiellement de nature lucrative. Or, l’État n’a pas pour mission de retirer un quelconque bénéfice financier de l’accomplissement de ses tâches, mais a le devoir d’accorder les prestations publiques suivant les conditions fixées dans les lois. La situation des cadres de l’État, et notamment des cadres non médecins des HUG, doit ainsi être relativisée et replacée dans le contexte de la mission de service public incombant par essence à l’État, contrairement au secteur privé. À l’ensemble de ces circonstances s’ajoutent deux autres éléments. D’une part, il s’agit de la perception majoritairement partagée par les parlementaires, et ce dès le début des travaux préparatoires, sur l’importance de maintenir des cadres médecins disposant de compétences pointues aux HUG afin d’y offrir des soins de qualité, ainsi que de la volonté subséquente de prévoir un traitement spécifique à cette catégorie de cadres parmi ceux visés par l’ancien art. 23A LTrait. D’autre part, la situation budgétaire s’est péjorée depuis le moment de l’adoption de l’art. 23A LTrait, notamment au détriment des personnes se trouvant dans la précarité. Ces circonstances permettent de reconnaître l’existence d’un motif sérieux expliquant objectivement le resserrement des conditions d’octroi de l’indemnité litigieuse en faveur d’une seule catégorie de cadres visés par l’ancien art. 23A LTrait. Au vu de ce qui précède, il ne peut être reproché au Grand Conseil, qui dispose en la matière d’un large pouvoir d’appréciation, de s’être fondé sur un critère insoutenable ni arbitraire. En supprimant l’indemnité litigieuse des cadres dès la classe 27 exerçant des responsabilités hiérarchiques, à l’exclusion des cadres médecins des HUG, il n’a pas commis un excès ou un abus de son pouvoir d’appréciation. La fixation d’un nouveau critère de distinction, ancré à l’art. 23B LTrait et affinant les conditions d’octroi d’une indemnité, supplémentaire au traitement et facultative, en faveur d’une catégorie de cadres de l’État, ne viole ainsi ni le principe de l’interdiction de l’arbitraire, ni celui de l’égalité de traitement. Dès lors, le grief tiré de l’inégalité de traitement contenu dans la loi doit être écarté. Le recours sera donc rejeté sur ce point. 6) Au vu de ce qui précède, le recours sera rejeté. Un émolument de CHF 1'500.- sera mis à la charge de la recourante qui succombe. Aucune indemnité de procédure ne sera allouée ni à cette dernière vu l’issue du litige, ni aux HUG disposant d’un service juridique et n’y ayant à juste titre pas conclu (art. 87 LPA). * * * * * PAR CES MOTIFS LA CHAMBRE ADMINISTRATIVE à la forme : déclare recevable le recours interjeté le 7 septembre 2015 par Madame A______ contre la décision des Hôpitaux universitaires de Genève du 6 juillet 2015 ; au fond : le rejette ; met un émolument de CHF 1'500.-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Malek Adjadj, avocat de la recourante, ainsi qu'aux Hôpitaux universitaires de Genève. Siégeants : M. Thélin, président, Mme Junod, M. Pagan, Mmes Steck et Montani,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