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A/301/2024 vom 22. Januar 2025</w:t>
      </w:r>
    </w:p>
    <w:p>
      <w:r>
        <w:t>GE Cour de justice, 2025-01-22, FR</w:t>
      </w:r>
    </w:p>
    <w:p>
      <w:r>
        <w:rPr>
          <w:b/>
        </w:rPr>
        <w:t xml:space="preserve">Quelle: </w:t>
      </w:r>
      <w:r>
        <w:t>https://mcp.opencaselaw.ch/entscheid/ge_gerichte_A_301_2024</w:t>
      </w:r>
    </w:p>
    <w:p>
      <w:r>
        <w:t>FR: GE_GERICHTE A/301/2024 du 22 janvier 2025</w:t>
      </w:r>
    </w:p>
    <w:p>
      <w:r>
        <w:t>IT: GE_GERICHTE A/301/2024 del 22 gennaio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la forme et le délai prévus par la loi, compte tenu de la suspension des délais pendant la période du 18 décembre au 2 janvier inclusivement (art. 38 al. 4 let. c LPGA et art. 89C let. c LPA), le recours est recevable (art. 56 ss LPGA et 62 ss LPA).</w:t>
      </w:r>
    </w:p>
    <w:p>
      <w:r>
        <w:rPr>
          <w:b/>
        </w:rPr>
        <w:t>E. 2</w:t>
      </w:r>
    </w:p>
    <w:p>
      <w:r>
        <w:t>Le litige porte sur le droit de la recourante aux prestations de l’intimée au-delà du 31 décembre 2021.</w:t>
      </w:r>
    </w:p>
    <w:p>
      <w:r>
        <w:rPr>
          <w:b/>
        </w:rPr>
        <w:t>E. 3.1</w:t>
      </w:r>
    </w:p>
    <w:p>
      <w:r>
        <w:t>Aux termes de l'art. 6 al. 1 LAA, et sous réserve de dispositions spéciales de la loi, les prestations d'assurance sont allouées en cas d'accident professionnel, d'accident non professionnel et de maladie professionnelle.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 cf . art. 9 al. 1 LAA). Aux termes de l’art. 14 de l’ordonnance sur l’assurance-accidents du 20 décembre 1982 (OLAA - RS 832.202), les substances nocives et les maladies dues à certains travaux au sens de l’art. 9 al. 1 LAA sont énumérées à l’annexe 1. Selon l’al. 2 let. b de cette annexe 1, sont notamment réputées affections dues à certains travaux au sens de l’art. 9, al. 1, de la loi notamment les maladies infectieuses pour autant qu’elles aient été contractées lors de travaux dans des hôpitaux, des laboratoires, des instituts de recherches et établissements analogues. Selon la jurisprudence, l'exigence d'une relation prépondérante requise par l'art. 9 al. 1 LAA est réalisée lorsque la maladie est due pour plus de 50% à l'action d'une substance nocive mentionnée dans la première liste, ou que, dans la mesure où elle figure parmi les affections énumérées dans la seconde liste, elle a été causée à raison de plus de 50% par les travaux indiqués en regard. En revanche, l'exigence d'une relation exclusive signifie que la maladie professionnelle est due pratiquement à 100% à l'action de la substance nocive ou du travail indiqué (ATF 119 V 200 consid. 2a ; arrêt du Tribunal fédéral 8C_306/2014 du 27 mars 2015 consid. 3). Par ailleurs,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(art. 6 LPGA ; art. 9 al. 3 LAA).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 Selon la jurisprudence, un fait est la cause adéquate d'un résultat si, d'après le cours ordinaire des choses et l'expérience générale de la vie, ce fait était propre à entraîner un résultat du genre de celui qui s'est produit, la survenance de celui-ci paraissant ainsi de façon générale favorisée (ATF 129 V 177 consid. 3.2, ATF 125 V 456 consid. 5a ; SVR 2010 UV n° 30 consid. 5.2). L'exigence d'un rapport de causalité adéquate entre l'accident assuré et l'atteinte à la santé qui s'en est suivie, en tant que condition du droit aux prestations de l'assurance-accidents, vise à limiter la responsabilité de cette dernière (ATF 129 V 177 consid. 3.3, ATF 125 V 456 consid. 5c ; SVR 2017 UV n° 8 consid. 3.3).</w:t>
      </w:r>
    </w:p>
    <w:p>
      <w:r>
        <w:rPr>
          <w:b/>
        </w:rPr>
        <w:t>E. 3.2</w:t>
      </w:r>
    </w:p>
    <w:p>
      <w:r>
        <w:t>La question de savoir comment il y a lieu d'appréhender l'émergence d'une atteinte psychique en relation avec une maladie professionnelle (de nature somatique) doit être résolue selon le critère de la causalité adéquate. Selon le Tribunal fédéral (voir notamment ATF 125 V 456 consid. 5 ou arrêt du Tribunal fédéral 8C_154/2010 du 16 août 2010 consid. 3.3), la jurisprudence relative à la causalité adéquate en cas d'atteinte psychique consécutive à des accidents (ATF 115 V 133 , accident présentant objectivement une certaine gravité ou entrant sérieusement en ligne de compte dans la survenance des troubles psychiques) n'est pas applicable par analogie à l'examen de la survenance de troubles psychiques en lien (éventuel) avec des maladies professionnelles. Dans cette dernière éventualité s'applique la définition générale de la causalité adéquate, à savoir qu'il faut examiner si, d'après le cours ordinaire des choses et l'expérience de la vie, appréciés en fonction de la diversité des assurés pour lesquels l'assurance-accidents doit offrir sa protection, la maladie professionnelle, dans sa spécificité, était propre à entraîner des troubles psychiques du genre de ceux qui sont apparus (ATF 125 V 456 consid. 5e). À l'examen de la jurisprudence du Tribunal fédéral (exemples peu nombreux), il apparaît que notre Haute Cour a ainsi refusé de reconnaître sous l'angle de l'assurance-accidents et comme conséquence d'une maladie professionnelle (initiale), une dépression apparue chez une assurée victime de harcèlement à son nouveau poste de travail alors que ce changement d'emploi avait été imposé en raison d'une maladie professionnelle (asthme, allergies ; arrêt du Tribunal fédéral 8C_154/2010 du 16 août 2010 consid. 4), diverses phobies et un choc post-traumatique développés par un assuré en raison de deux chocs anaphylactiques graves survenus suite à une maladie professionnelle (multiples allergies, ATF 125 V 456 c. 5) ou encore divers troubles psychiques prétendument apparus suite à de l'arthrose dans le coude droit (arrêt du Tribunal fédéral 8C_620/2018 du 15 janvier 2019 consid. 4.3). Selon la définition donnée par l’Organisation mondiale de la santé, le 6 octobre 2021 (consensus de Delphi), une affection post COVID-19 survient après une infection très probable ou avérée par le SARS-CoV-2, généralement trois mois après que la COVID-19 s’est déclarée. Ses symptômes durent au moins deux mois et ne peuvent pas être expliqués par un autre diagnostic. Les symptômes fréquents comprennent fatigue, essoufflement, troubles cognitifs, mais aussi d’autres problèmes qui retentissent sur la vie quotidienne. Ils peuvent réapparaître après la guérison d’une COVID-19 aigüe ou perdurer au-delà de la durée de la maladie initiale. Ils peuvent être fluctuants ou récurrents. En mars 2022, le groupe de travail post COVID-19 - Médecine d'assurance, de l’Hôpital Universitaire de Bâle, a établi un projet de recommandation pour le bilan de médecine d'assurance d’une affection post COVID-19 en Suisse. Ce document a été soumis à l’assemblée annuelle de la Swiss insurance Medicine (SIM). Une deuxième version, intégrant les mises à jour scientifiques, a été publiée le 31 juillet 2023. Il ressort des deux versions de recommandations que l’infection par le virus SARS-CoV-2 déclenche une réaction immunologique, dont la conséquence est une atteinte multisystémique qui peut affecter les fonctions de nombreux organes, y compris le cerveau. La production du virus dépend de la réaction du système immunitaire de l’hôte et des propriétés des différents variants du SARS-CoV-2. Par ailleurs, le virus présente une affinité tissulaire pour les cellules des voies respiratoires hautes et basses, en particulier, mais aussi pour d’autres types de tissus, tels que : l’intestin, le système nerveux central, le foie, les reins, le cœur et les vaisseaux sanguins. La maladie est, par conséquent, corrélée à un large éventail de symptômes. L’intensité de la réponse immunitaire de la personne infectée dépend de différents facteurs tels que : l’âge, le sexe, les maladies antérieures, mais aussi le variant du virus ; elle détermine l’évolution de la maladie et sa sévérité, sachant que des réinfections plus ou moins graves sont également possibles après la fin de la primo-infection. En conséquence, l’affection post COVID-19 peut se manifester par des symptômes très divers. De ce fait, en dehors de lésions organiques pour lesquelles elle peut être clairement incriminée, l’affection post COVID-19 est encore incomplètement comprise et s’avère multifactorielle. Il est toutefois établi que des séquelles de l’affection post COVID-19 peuvent se retrouver dans différents domaines de spécialité : complications pneumologiques (dyspnée, toux, limitation de la capacité physique et troubles du sommeil), complications cardiovasculaires (accidents ischémiques cérébraux, infarctus du myocarde, risque accru de maladies cardiovasculaires [accidents vasculaires cérébraux, arythmies cardiaques, cardiopathies ischémiques et non ischémiques, péricardite et myocardite, insuffisance cardiaque et thromboembolie]), complications neurologiques et neurocognitives (problèmes d’odorat et de goût, céphalées et douleurs musculaires, syndrome d’épuisement général avec fatigue organique, problèmes de mémoire, de concentration, troubles sensoriels et dysautonomies, etc .), complications rhumatologiques (myosite, vasculite, glomérulonéphrite, myocardite, arthrite et tableau Kawasaki- like , maladie auto-immune [chronique]), complications ORL (troubles aigus de l’odorat). Les pathologies préexistantes, telles que par exemple l’asthme, la fatigue chronique, les céphalées, la dyspnée ou encore les myalgies, accroissent le risque d’affection post COVID-19. Chez les patients ayant développé une forme grave de COVID-19 mais aussi, dans une moindre mesure, dans des cas d’infection légère à moyenne, des troubles psychiques notables ont été constatés, avec une incidence élevée de troubles anxieux, affectifs, et d’états de stress post-traumatique mais aussi de problèmes de dépendance. La place des facteurs psychosociaux dans la genèse des troubles psychiques pourrait toutefois être un cofacteur important. Il importe de tenir compte des difficultés individuelles de la vie quotidienne liées à la pandémie, en général et à la maladie (quarantaine, isolement, difficultés au travail, violence intrafamiliale en confinement, deuil et solitude), qui peuvent provoquer des troubles psychiques (anxiété, dépression, stress post-traumatique, troubles fonctionnels) ou aggraver des troubles existants, en particulier chez les personnes présentant des vulnérabilités psychiques. La CIM-11 comporte le code provisoire RA02, intitulé « Affection post-Covid-19 », dont il ressort que l’affection post Covid-19 survient chez des personnes présentant des antécédents d’infection probable ou confirmée par le SARS-CoV-2, généralement trois mois après l’apparition de la Covid-19 avec des symptômes qui persistent au moins deux mois et qui ne peuvent être expliqués par un autre diagnostic. Les symptômes courants comprennent la fatigue, l’essoufflement, un dysfonctionnement cognitif mais aussi d’autres symptômes qui ont généralement un impact sur le fonctionnement quotidien. Les symptômes peuvent être d’apparition nouvelle après un rétablissement initial à la suite d’un épisode de COVID-19 aigu, ou persister depuis la maladie initiale. Les symptômes peuvent également fluctuer ou récidiver au fil du temps.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En matière de COVID long, le Groupe de travail post-COVID-19 recommande de faire la distinction entre les cas présentant des complications d'organe avérées (typiquement après avoir développé une forme grave de COVID-19) et les cas où la fatigue, le malaise post-effort (MPE, soit une aggravation ou la réapparition des symptômes après un effort ou un surmenage physique ou mental) et les troubles cognitifs sont au premier plan (typiquement après avoir développé une forme légère de la Covid-19). Dans le premier groupe, les séquelles à long terme sont généralement faciles à appréhender et touchent le système d’organes affecté ainsi que les troubles cognitifs et les séquelles neurologiques du traitement intensif. Les limitations peuvent généralement être évaluées de manière objective à l'aide des outils diagnostiques des disciplines en question, et la causalité peut être clairement attribuée. Les personnes concernées qui se plaignent de symptômes persistants, en particulier de fatigue, de malaise post effort et de troubles cognitifs, après une forme de COVID-19 légère à éventuellement modérée, doivent faire l'objet d'un diagnostic différentiel méticuleux par un expert afin d'évaluer la causalité, le degré de gravité et donc la capacité de travail, ainsi que les options thérapeutiques. Le groupe de travail recommande donc un bilan interdisciplinaire, adossé au questionnaire EPOCA, composé d'une expertise de base et d'expertises complémentaires éventuelles pour les différents symptômes spécifiques (organes affectés) ainsi que d'une anamnèse liée au poste de travail, réalisée par un tiers. Si les symptômes persistent pendant plus de douze mois (ou en cas de convalescence après une forme grave, après la fin des mesures thérapeutiques), le groupe de travail préconise une expertise de base en médecine interne/infectiologie et en neurologie/neuropsychologie. Selon les autres symptômes et troubles cardinaux, des spécialistes en pneumologie, rhumatologie, cardiologie, ORL ou psychiatrie peuvent être consultés si nécessaire, en vue de compléter l’exploration dans le cadre de l’expertise en fonction des symptômes. Ces spécialistes doivent utiliser, pour l’examen des symptômes post COVID-19, des instruments bien établis, sensibles et spécifiques, instruments servant à vérifier objectivement la plausibilité des troubles dans le cas d’espèce et à déterminer le degré de sévérité des restrictions.</w:t>
      </w:r>
    </w:p>
    <w:p>
      <w:r>
        <w:rPr>
          <w:b/>
        </w:rPr>
        <w:t>E. 3.3</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3.4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Le renvoi à l’administration apparaît également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 notamment ATAS/588/2013 du 11 juin 2013 ; ATAS/454/2013 du 2 mai 2013 ; ATAS/139/2013 du 6 février 2013).</w:t>
      </w:r>
    </w:p>
    <w:p>
      <w:r>
        <w:rPr>
          <w:b/>
        </w:rPr>
        <w:t>E. 4.1</w:t>
      </w:r>
    </w:p>
    <w:p>
      <w:r>
        <w:t>En l’espèce, il n’est pas contesté par les parties que la recourante a souffert d’une maladie professionnelle depuis le 30 novembre 2020. Seul est litigieux son droit aux prestations de l’intimée au-delà du 31 décembre 2021 et la question de savoir si le statu quo sine a été atteint en décembre 2021 comme l’a retenu l’intimée en se fondant sur l’expertise du Dr J______. La recourante allègue que les troubles dont elle souffre font toujours partie du tableau du syndrome post-COVID et qu’ils sont encore en lien de causalité naturelle avec la maladie professionnelle admise par l’intimée. Il convient d’examiner la valeur probante de l’expertise du Dr J______. Il apparaît d’emblée que l’expertise ne correspond pas aux recommandations en matière de COVID long. En effet, à teneur de ces dernières, si les symptômes persistent pendant plus de douze mois, une expertise de base en médecine interne/infectiologie et en neurologie/neuropsychologie est préconisée. Or, en l’occurrence, les symptômes persistaient chez la recourante depuis plus de douze mois lors de l’expertise du Dr J______, en mars 2022, étant rappelé qu’elle a été testée positive à la COVID-19 le 30 novembre 2020. Il en résulte que son cas aurait dû faire l’objet d’un examen en neurologie/neuropsychologie. Par ailleurs, il est encore recommandé un volet pneumologique à l’expertise, en cas de dyspnée prolongée. Or, il ressort de l’expertise du Dr J______ que la recourante lui avait indiqué le 9 mars 2023 qu’elle présentait à nouveau des problèmes de dyspnée depuis trois semaines et qu’elle ne pouvait pas parler ni chanter en marchant. Un expert pneumologue aurait par conséquent dû examiner son cas. Selon le rapport établi le 15 mai 2024 par la Dre H______, l’affection post-COVID sans précision comportait des symptômes psychiatriques que l’on retrouvait chez l’assurée. Du point de vue psychiatrique, sa capacité de travail était de 0% dans son activité habituelle en lien avec l’affection post-COVID, en raison de sa fatigue, de ses troubles du sommeil et de ses troubles cognitifs, à type de troubles de l’attention et de la concentration, comme des troubles mnésiques. Le Dr J______ a indiqué le 29 mars 2023 qu’il y avait probablement des facteurs indépendants de « l’accident » qui jouaient un rôle dans le cas de l’assurée. La proximité temporelle entre un épisode d’épuisement professionnel survenu en juin 2020 et l’apparition des troubles neuropsychologiques dès décembre 2020 pouvait laisser penser qu’elle n’était pas pleinement remise lors de son infection au SARS-CoV2. Sur la base des éléments du dossier et de son examen, l’expert retenait que les troubles neuropsychologiques constatés étaient seulement possiblement en lien avec l’évènement accidentel, car des troubles psychiques entraient en considération. La chambre de céans relève à cet égard que le fait que la recourante présentait une vulnérabilité psychique avant sa contamination à la COVID-19 ne permet pas de considérer que l’atteinte psychique dont elle souffrait après sa contamination ne serait pas en rapport de causalité naturelle avec la COVID-19, puisque selon les recommandations du groupe de travail post COVID-19, chez les patients ayant développé une forme grave de COVID-19 mais aussi dans des cas d’infection légère à moyenne, des troubles psychiques notables ont été constatés, avec une incidence élevée de troubles anxieux, affectifs, et d’états de stress post-traumatique. Les difficultés individuelles de la vie quotidienne liées à la pandémie, en général et à la maladie (quarantaine, isolement, difficultés au travail, violence intrafamiliale en confinement, deuil et solitude) pouvaient non seulement provoquer des troubles psychiques (anxiété, dépression, stress post-traumatique, troubles fonctionnels) mais aggraver des troubles existants, en particulier chez les personnes présentant des vulnérabilités psychiques. Or, en application de l’art. 36 al. 1 LAA, les prestations de l’assurance-accidents ne sont pas réduites lorsque l'atteinte à la santé n'est que partiellement imputable à l'accident. Lorsqu'un état maladif préexistant est aggravé ou, de manière générale, apparaît consécutivement à un « accident », en l’occurrence une maladie professionnelle, le devoir de l'assurance-accidents d'allouer des prestations ne cesse que si l'accident ne constitue pas la cause naturelle (et adéquate) du dommage, soit lorsque ce dernier résulte exclusivement de causes étrangères à l'accident. II en résulte que le cas de la recourante devait faire l’objet d’un examen psychiatrique pour déterminer si la maladie professionnelle dont elle a souffert a eu un impact sur son état psychique et si oui, dans quelle mesure. Le cas de la recourante devait également faire l’objet d’un examen en rhumatologie, dès lors qu’elle souffrait, avant sa contamination, d’une spondylarthrite ankylosante qui a pu être aggravée par la COVID-19, selon le rapport de la Dre C______ du 4 octobre 2022, étant relevé que la Dre L______, qui la suivait pour ce diagnostic, a indiqué, le 16 février 2023, que la recourante avait présenté une recrudescence de douleurs articulaires avec un dérouillage matinal sur plusieurs mois dans un contexte de COVID long. Il résulte de ce qui précède que l’expertise du I______ ne peut se voir revêtir une pleine valeur probante et qu’une instruction complémentaire est nécessaire par le biais d’une expertise plurisdisciplinaire (médecine interne/infectiologie, neuro-logie/neuropsychologie, pneumologie, psychiatrie et rhumalogie).</w:t>
      </w:r>
    </w:p>
    <w:p>
      <w:r>
        <w:rPr>
          <w:b/>
        </w:rPr>
        <w:t>E. 5</w:t>
      </w:r>
    </w:p>
    <w:p>
      <w:r>
        <w:t>Au vu de ce qui précède, le recours est partiellement admis. La décision sur opposition du 12 décembre 2023 sera annulée et la cause sera renvoyée à l’intimée pour instruction complémentaire, au sens des considérants. La recourante obtenant partiellement gain de cause et étant assistée d’un avocat, une indemnité de CHF 2'500.- lui sera accordée, à titre de participation à ses frais et dépens (art. 61 let. g LPGA). Pour le surplus, la procédure est gratuite (art. 61 let. fbis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