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A/3010/2012 vom 19. Februar 2013</w:t>
      </w:r>
    </w:p>
    <w:p>
      <w:r>
        <w:t>GE Cour de justice, 2013-02-19, FR</w:t>
      </w:r>
    </w:p>
    <w:p>
      <w:r>
        <w:rPr>
          <w:b/>
        </w:rPr>
        <w:t xml:space="preserve">Quelle: </w:t>
      </w:r>
      <w:r>
        <w:t>https://mcp.opencaselaw.ch/entscheid/ge_gerichte_A_3010_2012</w:t>
      </w:r>
    </w:p>
    <w:p>
      <w:r>
        <w:t>FR: GE_GERICHTE A/3010/2012 du 19 février 2013</w:t>
      </w:r>
    </w:p>
    <w:p>
      <w:r>
        <w:t>IT: GE_GERICHTE A/3010/2012 del 19 febbraio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8 octobre 2012, l’intéressée a recouru auprès du « Tribunal des assurances » contre la décision susmentionnée, concluant implicitement à son annulation et à la reprise des prestations financières supprimées.</w:t>
      </w:r>
    </w:p>
    <w:p>
      <w:r>
        <w:rPr>
          <w:b/>
        </w:rPr>
        <w:t>E. 3</w:t>
      </w:r>
    </w:p>
    <w:p>
      <w:r>
        <w:t>Le 9 octobre 2012, le greffe de la chambre des assurances sociales de la Cour de justice a transmis le recours à la chambre administrative de la Cour de justice (ci-après : la chambre administrative), conformément à la voie de recours indiquée dans la décision querellée.</w:t>
      </w:r>
    </w:p>
    <w:p>
      <w:r>
        <w:rPr>
          <w:b/>
        </w:rPr>
        <w:t>E. 4</w:t>
      </w:r>
    </w:p>
    <w:p>
      <w:r>
        <w:t>Le 9 octobre 2012, le juge délégué a demandé à Mme L______ d’indiquer, justificatifs à l’appui, pour quelle raison elle avait recouru, le 8 octobre 2012, contre la décision du 20 juillet 2012 qui lui avait été distribuée le 4 août 2012. Un délai au 26 octobre 2012 lui était imparti.</w:t>
      </w:r>
    </w:p>
    <w:p>
      <w:r>
        <w:rPr>
          <w:b/>
        </w:rPr>
        <w:t>E. 5</w:t>
      </w:r>
    </w:p>
    <w:p>
      <w:r>
        <w:t>Aucune suite n’ayant été donnée à la demande précitée, un rappel, par pli recommandé et courrier simple, lui a été adressé le 13 novembre 2012, avec un nouveau délai de réponse au 30 novembre 2012, en attirant son attention sur les conséquences d’un défaut de collaboration.</w:t>
      </w:r>
    </w:p>
    <w:p>
      <w:r>
        <w:rPr>
          <w:b/>
        </w:rPr>
        <w:t>E. 6</w:t>
      </w:r>
    </w:p>
    <w:p>
      <w:r>
        <w:t>L’intéressée n’a pas réagi.</w:t>
      </w:r>
    </w:p>
    <w:p>
      <w:r>
        <w:rPr>
          <w:b/>
        </w:rPr>
        <w:t>E. 7</w:t>
      </w:r>
    </w:p>
    <w:p>
      <w:r>
        <w:t>Vu la nature du litige, aucun émolument ne sera perçu (art. 87 LPA et 10 règlement sur les frais, émoluments et indemnités en procédure administrative du 30 juillet 1986 (RFPA ; RS E 5 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