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A/3009/2022 vom 5. März 2024</w:t>
      </w:r>
    </w:p>
    <w:p>
      <w:r>
        <w:t>GE Cour de justice, 2024-03-05, FR</w:t>
      </w:r>
    </w:p>
    <w:p>
      <w:r>
        <w:rPr>
          <w:b/>
        </w:rPr>
        <w:t xml:space="preserve">Quelle: </w:t>
      </w:r>
      <w:r>
        <w:t>https://mcp.opencaselaw.ch/entscheid/ge_gerichte_A_3009_2022</w:t>
      </w:r>
    </w:p>
    <w:p>
      <w:r>
        <w:t>FR: GE_GERICHTE A/3009/2022 du 5 mars 2024</w:t>
      </w:r>
    </w:p>
    <w:p>
      <w:r>
        <w:t>IT: GE_GERICHTE A/3009/2022 del 5 marzo 2024</w:t>
      </w:r>
    </w:p>
    <w:p>
      <w:pPr>
        <w:pStyle w:val="Heading2"/>
      </w:pPr>
      <w:r>
        <w:t>Regeste</w:t>
      </w:r>
    </w:p>
    <w:p>
      <w:r>
        <w:t>DROIT DES ÉTRANGERS;LOI FÉDÉRALE SUR LES ÉTRANGERS ET L'INTÉGRATION;RESSORTISSANT ÉTRANGER;AUTORISATION DE SÉJOUR;CAS DE RIGUEUR;SÉJOUR ILLÉGAL;ADOLESCENT;DEVOIR DE COLLABORER;RESPECT DE LA VIE FAMILIALE;RESPECT DE LA VIE PRIVÉE;EXCÈS ET ABUS DU POUVOIR D'APPRÉCIATION;RENVOI(DROIT DES ÉTRANGERS) | Confirmation du refus d'autorisation de séjour au recourant, ressortissant d'Albanie, du prononcé du renvoi et de son exécution. Absence de cas individuel d'extrême gravité dans la situation du recourant, arrivé en Suisse pendant son adolescence il y a un peu moins de cinq ans et dont l'intégration n'apparaît pas particulièrement poussée. Il ne peut pas se prévaloir de l'art. 8 CEDH pour obtenir une autorisation de séjour. Renvoi possible, licite et raisonnablement exigible. | LEI.30.al1.letb; LEI.58a.al1; OASA.31.al1; LPA.19; LPA.20; LPA.22; LEI.90; CEDH.8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w:t>
      </w:r>
    </w:p>
    <w:p>
      <w:r>
        <w:rPr>
          <w:b/>
        </w:rPr>
        <w:t>E. 2.2</w:t>
      </w:r>
    </w:p>
    <w:p>
      <w:r>
        <w:t>En l'espèce, le recourant, qui ne dispose pas du droit d'être entendu oralement, a eu l'occasion de prendre position par écrit et produire les pièces à l'appui de sa position à plusieurs reprises au cours de la procédure, tant devant l'autorité intimée et devant l'instance précédente que devant la chambre de céans. L'audition du recourant n'apparaît dans ces circonstances pas nécessaire à la résolution du présent litige et la chambre administrative dispose d'un dossier complet lui permettant de trancher le litige en toute connaissance de cause. Il ne sera par conséquent pas donné suite à la demande de comparution personnelle du recourant.</w:t>
      </w:r>
    </w:p>
    <w:p>
      <w:r>
        <w:rPr>
          <w:b/>
        </w:rPr>
        <w:t>E. 3</w:t>
      </w:r>
    </w:p>
    <w:p>
      <w:r>
        <w:t>Le litige porte sur la conformité au droit du refus de délivrance d'une autorisation de séjour au recourant, du prononcé de son renvoi de Suisse et de l'exécution de celui-ci.</w:t>
      </w:r>
    </w:p>
    <w:p>
      <w:r>
        <w:rPr>
          <w:b/>
        </w:rPr>
        <w:t>E. 4</w:t>
      </w:r>
    </w:p>
    <w:p>
      <w:r>
        <w:t>Le recourant conteste le refus d'octroi d'une autorisation de séjour.</w:t>
      </w:r>
    </w:p>
    <w:p>
      <w:r>
        <w:rPr>
          <w:b/>
        </w:rPr>
        <w:t>E. 4.1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personnes étrangères dont le statut juridique n'est pas réglé par d'autres dispositions du droit fédéral ou par des traités internationaux conclus par la Suisse (art. 1 et 2 LEI), ce qui est le cas pour les ressortissants d'Albanie.</w:t>
      </w:r>
    </w:p>
    <w:p>
      <w:r>
        <w:rPr>
          <w:b/>
        </w:rPr>
        <w:t>E. 4.2</w:t>
      </w:r>
    </w:p>
    <w:p>
      <w:r>
        <w:t>Aux termes de l'art. 30 al. 1 let. b LEI, il est possible de déroger aux conditions d'admission (art. 18 à 29 LEI) notamment dans le but de tenir compte des cas individuels d'une extrême gravité ou d'intérêts publics majeurs.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 art. 31 al. 1 OASA).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 art. 58a al. 1 LEI).</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procéder à l'examen de l'ensemble des circonstances du cas d'espèce pour déterminer l'existence d'un cas de rigueur (ATF 128 II 200 consid. 4 ; 124 II 110 consid. 2). Ainsi, les critères énumérés par l'art. 31 al. 1 OASA, qui doivent impérativement être respectés, ne sont pas exhaustifs, d'autres éléments pouvant également entrer en considération, comme les circonstances concrètes ayant amené une personne étrangère à séjourner illégalement en Suisse (SEM, Directives et commentaires, Domaine des étrangers, 2013, état au 1 er septembre 2023, n. 5.6.10 ; ATA/179/2024 du 6 février 2024 consid. 3.3).</w:t>
      </w:r>
    </w:p>
    <w:p>
      <w:r>
        <w:rPr>
          <w:b/>
        </w:rPr>
        <w:t>E. 4.4</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4.6</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du 20 novembre 1989 (CDE - RS 0.107 ; arrêts du Tribunal fédéral 2A.679/2006 du 9 février 2007 consid. 3 ; 2A.43/2006 du 31 mai 2006 consid. 3.1 ; arrêt du TAF C 3592/2010 du 8 octobre 2012 consid. 6.2 ; ATA/434/2020 du 31 avril 2020 consid. 10).</w:t>
      </w:r>
    </w:p>
    <w:p>
      <w:r>
        <w:rPr>
          <w:b/>
        </w:rPr>
        <w:t>E. 4.7</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ATA/111/2024 du 30 janvier 2024 consid. 3.1).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w:t>
      </w:r>
    </w:p>
    <w:p>
      <w:r>
        <w:rPr>
          <w:b/>
        </w:rPr>
        <w:t>E. 4.8</w:t>
      </w:r>
    </w:p>
    <w:p>
      <w:r>
        <w:t>En l'espèce, le recourant est arrivé en Suisse en juillet 2019, soit il y a un peu moins de cinq ans, soit une période relativement courte au regard de la jurisprudence. Ce séjour a par ailleurs été effectué illégalement la première année, puis au bénéfice de la tolérance des autorités cantonales dans le cadre de sa demande d'autorisation de séjour puis de la procédure de recours. S'agissant de son intégration à Genève, le recourant y est arrivé alors qu'il avait 15 ans, soit au milieu de la période cruciale de l'adolescence. Il a ensuite vécu la suite de son adolescence et le début de sa vie d'adulte à Genève, étant aujourd'hui âgé de presque 20 ans. Il ressort du dossier qu'il a, à son arrivée en Suisse, rejoint l'établissement de l'enseignement public ACCES, dont la mission consiste à accueillir et préparer l'élève à intégrer soit une formation professionnelle, soit une filière scolaire du 12 e degré (présentation d'ACCES, p. 3, disponible sur https://drive.google.com/file/d/1_mc9UPxNaeEJto3KLe1U3eALT4ckyQSf/view, consulté le 21 février 2024). Il a en premier effectué une année en classe d'accueil, destinée aux élève allophones et ayant pour objectif l'apprentissage intensif du français, une mise à niveau des connaissances générales et l'initiation au métier d'élève en Suisse (présentation d'ACCES, p. 5). Il a rejoint, en 2020-2021, une classe d'orientation professionnelle, qui s'adresse aux jeunes allophones n'ayant pas encore acquis le niveau scolaire et l'autonomie exigée pour une entrée dans le monde professionnel et qui leur permet d'améliorer leur niveau scolaire et de découvrir la réalité du monde du travail par des visites ou des stages (présentation d'ACCES, p. 6). Le recourant, assisté d'un avocat, n'a rien allégué concernant son implication dans son cursus à ACCES. Il n'a pas non plus indiqué avoir commencé un autre parcours scolaire ou professionnel avec succès depuis l'année scolaire 2020-2021. Il n'a finalement pas plus allégué avoir tissé des liens amicaux ou affectifs particulièrement étroits en Suisse. Ainsi, même s'il a passé une partie des années importantes pour la formation de sa personnalité en Suisse, il ne ressort pas du dossier qu'il puisse se prévaloir d'une intégration accrue dans ce pays au point qu'un retour dans son pays d'origine soit constitutif d'un déracinement. S'agissant de sa réintégration dans son pays d'origine, le recourant, jeune et en bonne santé, a vécu toute son enfance et le début de son adolescence en Albanie, pays dont il parle la langue et dont il connaît les us et coutumes. Il y a de la famille, tant du côté maternel que paternel, et il y retrouvera ses parents et ses deux petits frères, lesquels font également l'objet de décisions de refus de délivrance d'autorisations de séjour et de renvoi de Suisse, confirmés par le TAPI et également ce jour par la chambre de céans dans des arrêts séparés. L'ensemble de la famille est ainsi voué à rentrer dans son pays d'origine. Dans ces circonstances, il ne ressort pas du dossier que les difficultés auxquelles le recourant devra faire face en cas de retour en Albanie seraient pour lui plus graves que pour la moyenne des personnes étrangères, en particulier des ressortissants d'Albanie, retournant dans leur pays. Au vu de ce qui précède, le recourant ne se trouve pas dans une situation de détresse personnelle au sens de l'art. 30 al. 1 let. b LEI. S'il est vrai qu'un retour dans son pays d'origine engendrerait certainement pour lui certaines difficultés, il ne se trouve pas dans une situation si rigoureuse que l'on ne saurait exiger son retour en Albanie.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écarté.</w:t>
      </w:r>
    </w:p>
    <w:p>
      <w:r>
        <w:rPr>
          <w:b/>
        </w:rPr>
        <w:t>E. 5</w:t>
      </w:r>
    </w:p>
    <w:p>
      <w:r>
        <w:t>Le recourant invoque une violation de l'art. 8 de la Convention de sauvegarde des droits de l’homme et des libertés fondamentales du 4 novembre 1950 (CEDH - RS 0.101).</w:t>
      </w:r>
    </w:p>
    <w:p>
      <w:r>
        <w:rPr>
          <w:b/>
        </w:rPr>
        <w:t>E. 5.1</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w:t>
      </w:r>
    </w:p>
    <w:p>
      <w:r>
        <w:rPr>
          <w:b/>
        </w:rPr>
        <w:t>E. 5.2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w:t>
      </w:r>
    </w:p>
    <w:p>
      <w:r>
        <w:rPr>
          <w:b/>
        </w:rPr>
        <w:t>E. 5.3</w:t>
      </w:r>
    </w:p>
    <w:p>
      <w:r>
        <w:t>En l'espèce, au-delà du fait que le recourant est majeur et ne démontre pas se trouver dans un état de dépendance au sens où l'entend la jurisprudence par rapport à ses parents, ces derniers et ses frères n'ont aucun droit de résider durablement en Suisse. Par ailleurs, vu l'analyse effectuée précédemment, le droit à la protection de sa vie privée n'ouvre pas de droit du recourant à une autorisation de séjour. Le recourant ne peut par conséquent pas se prévaloir de l'art. 8 CEDH pour obtenir une autorisation de séjour. Le grief sera écarté.</w:t>
      </w:r>
    </w:p>
    <w:p>
      <w:r>
        <w:rPr>
          <w:b/>
        </w:rPr>
        <w:t>E. 6</w:t>
      </w:r>
    </w:p>
    <w:p>
      <w:r>
        <w:t>Reste à examiner le renvoi et son exécution.</w:t>
      </w:r>
    </w:p>
    <w:p>
      <w:r>
        <w:rPr>
          <w:b/>
        </w:rPr>
        <w:t>E. 6.1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6.2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6.3</w:t>
      </w:r>
    </w:p>
    <w:p>
      <w:r>
        <w:t>En l'espèce, dès lors que la délivrance d'une autorisation de séjour a été refusée au recourant, c'est à bon droit que l'autorité intimée a prononcé son renvoi de Suisse et que l'instance précédente a confirmé ledit renvoi. Si le recourant invoque l'inexigibilité du renvoi, il n'invoque aucun élément allant dans le sens d'une telle inexigibilité. Par ailleurs, il ne ressort pas du dossier que l'exécution de son renvoi serait impossible, illicite ou inexigible. L'autorité intimée était par conséquent fondée à ordonner l'exécution de son renvoi. Dans ces circonstances, le recours, mal fondé, sera rejeté.</w:t>
      </w:r>
    </w:p>
    <w:p>
      <w:r>
        <w:rPr>
          <w:b/>
        </w:rPr>
        <w:t>E. 7</w:t>
      </w:r>
    </w:p>
    <w:p>
      <w:r>
        <w:t>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