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A/2/2009 vom 26. Januar 2009</w:t>
      </w:r>
    </w:p>
    <w:p>
      <w:r>
        <w:t>GE Cour de justice, 2009-01-26, FR</w:t>
      </w:r>
    </w:p>
    <w:p>
      <w:r>
        <w:rPr>
          <w:b/>
        </w:rPr>
        <w:t xml:space="preserve">Quelle: </w:t>
      </w:r>
      <w:r>
        <w:t>https://mcp.opencaselaw.ch/entscheid/ge_gerichte_A_2_2009</w:t>
      </w:r>
    </w:p>
    <w:p>
      <w:r>
        <w:t>FR: GE_GERICHTE A/2/2009 du 26 janvier 2009</w:t>
      </w:r>
    </w:p>
    <w:p>
      <w:r>
        <w:t>IT: GE_GERICHTE A/2/2009 del 26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16 janvier 2009, le Tribunal administratif a reçu un écrit de Monsieur K______ rédigé en arabe.</w:t>
      </w:r>
    </w:p>
    <w:p>
      <w:r>
        <w:rPr>
          <w:b/>
        </w:rPr>
        <w:t>E. 2</w:t>
      </w:r>
    </w:p>
    <w:p>
      <w:r>
        <w:t>La chancellerie du Tribunal administratif a immédiatement informé M. K______ qu’à Genève la langue officielle était le français et que l’acte de recours et les pièces qui l’accompagnaient devaient lui parvenir dans cette langue. Cette information a été faite par télécopie, courrier recommandé et courrier prioritaire.</w:t>
      </w:r>
    </w:p>
    <w:p>
      <w:r>
        <w:rPr>
          <w:b/>
        </w:rPr>
        <w:t>E. 3</w:t>
      </w:r>
    </w:p>
    <w:p>
      <w:r>
        <w:t>A ce jour, M. K______ n’a réagi en aucune manière.</w:t>
      </w:r>
    </w:p>
    <w:p>
      <w:r>
        <w:rPr>
          <w:b/>
        </w:rPr>
        <w:t>E. 4</w:t>
      </w:r>
    </w:p>
    <w:p>
      <w:r>
        <w:t>Vu la nature du litige, aucun émolument ne sera mis à la charge du recourant (art. 11 al. 1 du règlement modifiant le règlement sur les frais, émoluments et indemnités en procédure administrative du 7 janvier 2009 - RFPA - E 5 10.03).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