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A/29/2009 vom 7. Mai 2009</w:t>
      </w:r>
    </w:p>
    <w:p>
      <w:r>
        <w:t>GE Cour de justice, 2009-05-07, FR</w:t>
      </w:r>
    </w:p>
    <w:p>
      <w:r>
        <w:rPr>
          <w:b/>
        </w:rPr>
        <w:t xml:space="preserve">Quelle: </w:t>
      </w:r>
      <w:r>
        <w:t>https://mcp.opencaselaw.ch/entscheid/ge_gerichte_A_29_2009</w:t>
      </w:r>
    </w:p>
    <w:p>
      <w:r>
        <w:t>FR: GE_GERICHTE A/29/2009 du 7 mai 2009</w:t>
      </w:r>
    </w:p>
    <w:p>
      <w:r>
        <w:t>IT: GE_GERICHTE A/29/2009 del 7 maggio 2009</w:t>
      </w:r>
    </w:p>
    <w:p>
      <w:pPr>
        <w:pStyle w:val="Heading2"/>
      </w:pPr>
      <w:r>
        <w:t>Regeste</w:t>
      </w:r>
    </w:p>
    <w:p>
      <w:r>
        <w:t>Séquestre. Revendication. | Plainte rejetée. La revendication par le titulaire d'un compte séquestré n'est pas tardive deux ans plus tard, lorsque l'Office l'a interpellé pour se déterminer sur la titularité du compte en question. | LP.107; LP.108; LP.275</w:t>
      </w:r>
    </w:p>
    <w:p>
      <w:pPr>
        <w:pStyle w:val="Heading2"/>
      </w:pPr>
      <w:r>
        <w:t>Erwägungen</w:t>
      </w:r>
    </w:p>
    <w:p>
      <w:r>
        <w:rPr>
          <w:b/>
        </w:rPr>
        <w:t>E. 3</w:t>
      </w:r>
    </w:p>
    <w:p>
      <w:r>
        <w:t>Il est statué sans frais ni dépens (art. 20a al. 2 ch. 5 LP, 61 al. 2 let. a, 62 al. 2 OELP). * * * * * PAR CES MOTIFS, LA COMMISSION DE SURVEILLANCE SIÉGEANT EN SECTION : A la forme : Déclare recevable la plainte formée le 6 janvier 2009 par S______ SpA contre la décision de l'Office des poursuites dans le cadre de la poursuite n° 06 xxxx32 K. Au fond : La rejette. Déboute les parties de toutes autres conclusions. Siégeant : M. Philippe GUNTZ, président ;  Mme Valérie CARERA et M. Philipp GANZONI,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