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A/2994/2022 vom 26. September 2023</w:t>
      </w:r>
    </w:p>
    <w:p>
      <w:r>
        <w:t>GE Cour de justice, 2023-09-26, FR</w:t>
      </w:r>
    </w:p>
    <w:p>
      <w:r>
        <w:rPr>
          <w:b/>
        </w:rPr>
        <w:t xml:space="preserve">Quelle: </w:t>
      </w:r>
      <w:r>
        <w:t>https://mcp.opencaselaw.ch/entscheid/ge_gerichte_A_2994_2022</w:t>
      </w:r>
    </w:p>
    <w:p>
      <w:r>
        <w:t>FR: GE_GERICHTE A/2994/2022 du 26 septembre 2023</w:t>
      </w:r>
    </w:p>
    <w:p>
      <w:r>
        <w:t>IT: GE_GERICHTE A/2994/2022 del 26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sollicite son audition.![endif]&gt;![if&gt;</w:t>
      </w:r>
    </w:p>
    <w:p>
      <w:r>
        <w:rPr>
          <w:b/>
        </w:rPr>
        <w:t>E. 2.1</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références).![endif]&gt;![if&gt; Cela n’implique pas une audition personnelle de l’intéressé, celui-ci devant simplement disposer d’une occasion de se déterminer sur les éléments propres à influer sur l’issue de la cause (art. 41 LPA ; ATF 148 II 73 consid. 7.3.1 ; 145 I 167 consid. 4.1).</w:t>
      </w:r>
    </w:p>
    <w:p>
      <w:r>
        <w:rPr>
          <w:b/>
        </w:rPr>
        <w:t>E. 2.2</w:t>
      </w:r>
    </w:p>
    <w:p>
      <w:r>
        <w:t>En l’espèce, le recourant a pu exposer son point de vue dans le cadre de ses diverses écritures et produire toutes les pièces qu’il estimait utiles. Il n'explique pas en quoi son audition serait susceptible d'apporter des éléments qu'il n'aurait pas encore détaillés. Dans ces conditions, il ne sera pas donné suite à sa demande de comparution personnelle. ![endif]&gt;![if&gt;</w:t>
      </w:r>
    </w:p>
    <w:p>
      <w:r>
        <w:rPr>
          <w:b/>
        </w:rPr>
        <w:t>E. 3</w:t>
      </w:r>
    </w:p>
    <w:p>
      <w:r>
        <w:t>Le litige porte sur la reconnaissance du statut de victime de traite des êtres humains au sens de la CTEH, ainsi que sur l’octroi d’une autorisation de séjour fondée sur cette convention et la LEI.![endif]&gt;![if&gt;</w:t>
      </w:r>
    </w:p>
    <w:p>
      <w:r>
        <w:rPr>
          <w:b/>
        </w:rPr>
        <w:t>E. 4</w:t>
      </w:r>
    </w:p>
    <w:p>
      <w:r>
        <w:t>Le 1 er janvier 2019 est entrée en vigueur une modification de la loi sur les étrangers du 16 décembre 2005 (LEtr), devenue la LEI, et de l'ordonnance relative à l'admission, au séjour et à l'exercice d'une activité lucrative du 24 octobre 2007 (OASA - RS 142.201). La demande d'autorisation de séjour du recourant ayant été déposée après le 1 er janvier 2019, c'est le nouveau droit qui s'applique à la présente cause.![endif]&gt;![if&gt;</w:t>
      </w:r>
    </w:p>
    <w:p>
      <w:r>
        <w:rPr>
          <w:b/>
        </w:rPr>
        <w:t>E. 5</w:t>
      </w:r>
    </w:p>
    <w:p>
      <w:r>
        <w:t>La CTEH a notamment pour objet de protéger les droits de la personne humaine des victimes de la traite, de concevoir un cadre complet de protection et d'assistance aux victimes ainsi que d'assurer des enquêtes et des poursuites efficaces (art. 1 let. b CTEH).![endif]&gt;![if&gt; La traite des êtres humains est définie à l'art. 4 let. a CTEH, lequel prévoit que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le Protocole de Palerme; RS 0.311.542; cf. rapport explicatif CTEH § 72). La traite des êtres humains se compose de trois éléments constitutifs : 1) un acte (ce qui est fait) : « le recrutement, le transport, le transfert, l'hébergement ou l'accueil de personnes » ; 2) un moyen (comment l'acte est commis) : «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 ; 3) un objectif d'exploitation (pourquoi l'acte est commis) : « l'exploitation comprend, au minimum, l'exploitation de la prostitution d'autrui ou d'autres formes d'exploitation sexuelle, le travail ou les services forcés, l'esclavage ou les pratiques analogues à l'esclavage, la servitude ou le prélèvement d'organes » (rapport explicatif CTEH § 74; également pour le Protocole de Palerme, Combattre la traite des personnes : Guide à l'usage des parlementaires, mars 2009, n° 16 - 2009, p. 13 s., établi par l'Office des Nations unies contre la drogue et le crime [ONUDC]). Pour qu'il y ait traite des êtres humains, il faut en principe la réunion d'éléments appartenant aux trois catégories reprises ci-dessus (action - moyen - but) (Arrêt 2C_483/2021 du 14 décembre 2021 consid. 7.1.1 ; Rapport explicatif CTEH § 75 s., qui mentionne une exception, non réalisée en l'espèce, pour les enfants). La personne étrangère qui se prétend victime de traite des êtres humains est soumise à un devoir de coopération accru et doit étayer ses allégués par des preuves, qui peuvent être apportées de différentes manières et à la faveur d'un faisceau d'indices convergents (ATF 142 I 152 consid. 6.2 ; arrêt du Tribunal fédéral 2C_483/2021 précité consid. 7.1.3).</w:t>
      </w:r>
    </w:p>
    <w:p>
      <w:r>
        <w:rPr>
          <w:b/>
        </w:rPr>
        <w:t>E. 6</w:t>
      </w:r>
    </w:p>
    <w:p>
      <w:r>
        <w:t>L’art. 14 al. 1 CTEH prévoit que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b).![endif]&gt;![if&gt; L'art. 14 al. 1 let. a CTEH vise à offrir à la victime un certain degré de protection et l'art. 14 al. 1 let. b CTEH permet de garantir sa disponibilité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Le Tribunal fédéral a déjà eu l'occasion de préciser qu'un droit à l'obtention d'une autorisation de séjour découlait de ces dispositions, qui possèdent un caractère « self-executing » (s'agissant de l'art. 14 al. 1 let. a CTEH : arrêt 2C_483/2021 du 14 décembre 2021 consid. 4.3 ; concernant l'art. 14 al. 1 let. b CTEH et l'art.  4 CEDH : ATF 145 I 308 consid. 3.4.3).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exigé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w:t>
      </w:r>
    </w:p>
    <w:p>
      <w:r>
        <w:rPr>
          <w:b/>
        </w:rPr>
        <w:t>E. 7</w:t>
      </w:r>
    </w:p>
    <w:p>
      <w:r>
        <w:t>Selon l'art. 4 CEDH, nul ne peut être tenu en esclavage ni en servitude (§ 1) et nul ne peut être astreint à accomplir un travail forcé ou obligatoire (§ 2).![endif]&gt;![if&gt; Il n'est pas fait mention de la traite des êtres humains dans l'art. 4 CEDH. La Cour européenne des droits de l'homme a estimé qu'il n'était pas nécessaire, dans ce contexte particulier, de déterminer si les traitements qui faisaient l'objet des griefs d'un requérant constituaient de l'« esclavage », de la « servitude » ou un « travail forcé ou obligatoire », considérant qu'en elle-même, la traite d'êtres humains entrait dans le champ d'application de l'art. 4 CEDH (Guide sur l'article 4 de la Convention européenne des droits de l'homme, mis à jour au 31 août 2019 ; https://www.echr.coe.int/Documents/Guide_Art_4_FRA.pdf, n. 8 et 11 p. 6 ; arrêt du Tribunal administratif fédéral E-1999/2020 du 14 août 2020 consid. 7.2). La notion de travail forcé désigne « tout travail ou service exigé d'un individu sous la menace d'une peine quelconque et pour lequel ledit individu ne s'est pas offert de son plein gré ». Tout travail exigé d'un individu sous la menace d'une « peine » ne constitue pas nécessairement un travail forcé ; il convient en effet de prendre en compte, notamment, la nature et le volume de l'activité en cause. Il ne faut pas que l'intéressé se soit offert de son plein gré pour effectuer ledit travail (Guide précité, n. 21 et 23 p. 8 et n. 24 p. 9).</w:t>
      </w:r>
    </w:p>
    <w:p>
      <w:r>
        <w:rPr>
          <w:b/>
        </w:rPr>
        <w:t>E. 8</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du Kosovo.![endif]&gt;![if&gt; Les conditions d'entrée d'un étranger en Suisse sont régies par les art. 5 ss LEI. Les dérogations aux prescriptions générales d'admission (art. 18 à 29 LEI) sont énoncées de manière exhaustive à l'art. 30 al. 1 LEI.</w:t>
      </w:r>
    </w:p>
    <w:p>
      <w:r>
        <w:rPr>
          <w:b/>
        </w:rPr>
        <w:t>E. 8.1</w:t>
      </w:r>
    </w:p>
    <w:p>
      <w:r>
        <w:t>Aux termes de l'art. 30 al. 1 let. e LEI, il est possible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internationale.![endif]&gt;![if&gt; Cette disposition concerne les victimes ou témoins de la traite d'êtres humains, au sens des art. 182 CP et 3 let. a et b du protocole additionnel à la Convention des Nations Unies contre la criminalité transnationale organisée visant à prévenir, réprimer et punir la traite des personnes, en particulier des femmes et des enfants, du 15 novembre 2000 (RS 0.311.542 ; arrêt du Tribunal fédéral 6B_649/2014 du 4 décembre 2014 consid. 3.3). La simple violation des prescriptions de droit du travail n'entraîne ainsi pas une exploitation du travail d'autrui au sens de l'art. 182 al. 1 CP, qui présuppose plutôt l'esclavage ou les relations analogues à ce dernier, ou encore des prestations de travail effectuées sous la contrainte ( ATA/1455/2017 du 31 octobre 2017 consid. 9b ; ATA/981/2015 du 22 septembre 2015 consid. 6c et les références citées). L'application de l'art. 30 al.1 let. e LEI suppose d'abord la reconnaissance de la qualité de victime. Si la qualité de victime est reconnue, il convient de se référer aux art. 35, 36 et 36a OASA qui précisent le champ d'application de l'art. 30 al. 1 let. e LEI (Minh Son NGUYEN, in Minh Son NGUYEN/Cesla AMARELLE [éd.], Code annoté de droit des migrations, vol. II : LEtr, 2017, p. 282, ch. 92). Il ressort de la formulation de cette disposition, rédigée en la forme potestative, que l'étranger n'a aucun droit à l'octroi d'une dérogation aux conditions d'admission et, ce faisant, à l'octroi d'une autorisation de séjour fondée sur cette disposition (ATF 145 I 308 consid. 3.3.1).</w:t>
      </w:r>
    </w:p>
    <w:p>
      <w:r>
        <w:rPr>
          <w:b/>
        </w:rPr>
        <w:t>E. 8.2</w:t>
      </w:r>
    </w:p>
    <w:p>
      <w:r>
        <w:t>L'art. 30 al. 1 let. b LEI permet de déroger aux conditions d'admission en Suisse, telles que prévues aux art. 18 à 29 LEI, notamment aux fins de tenir compte des cas individuels d'une extrême gravité ou d'intérêts publics majeurs. ![endif]&gt;![if&gt;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janvier 2021 [ci-après : directives LEI] ch. 5.6).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8.3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9</w:t>
      </w:r>
    </w:p>
    <w:p>
      <w:r>
        <w:t>En l’espèce, la procédure pénale est terminée. L’art. 14 al. 1 let. b CTEH n’est en conséquence plus pertinent.![endif]&gt;![if&gt;</w:t>
      </w:r>
    </w:p>
    <w:p>
      <w:r>
        <w:rPr>
          <w:b/>
        </w:rPr>
        <w:t>E. 9.1</w:t>
      </w:r>
    </w:p>
    <w:p>
      <w:r>
        <w:t>Se pose la question de l’art. 14 al. 1 let. a CTEH, à savoir si le séjour de la victime s’avère nécessaire en raison de sa situation personnelle.![endif]&gt;![if&gt;</w:t>
      </w:r>
    </w:p>
    <w:p>
      <w:r>
        <w:rPr>
          <w:b/>
        </w:rPr>
        <w:t>E. 9.1.1</w:t>
      </w:r>
    </w:p>
    <w:p>
      <w:r>
        <w:t>Le recourant soutient être victime au sens de la CTEH. L’infraction d’usure n’a pas été retenue par le Ministère public et le recours dirigé contre l’ordonnance de non-entrée en matière a été rejeté par la chambre pénale de recours. Comme relevé à juste titre par le TAPI, celle de traite d’êtres humains n’a pas non plus été retenue, celle-ci devant s’analyser d’office. Le recourant met en avant sa vulnérabilité en lien notamment avec son statut de sans‑papiers. Or, d’une part, il était déjà venu illégalement en Suisse en 2013 avant de repartir, sans avoir obtenu de régularisation. Il connaissait dès lors les difficultés et les conditions de cette dernière. D’autre part, il est précisément revenu en 2019, de façon illicite, et ne peut se prévaloir d’un statut de victime de travail forcé au motif qu’il n’aurait pas obtenu de régularisation. Aucun élément du dossier n’atteste du travail forcé dont il se plaint. Aucune preuve n’indique que son ex-employeur ait fait du chantage sur sa personne à ce titre. Rien n’indique de même qu’il n’aurait pas pu démissionner puis mettre en poursuite son employeur. Il a été capable d’aller se renseigner auprès d’un syndicat le même mois que celui où il indique avoir été licencié avec effet immédiat, d’être entendu par la police, de consulter le CENTRE SOCIAL PROTESTANT et de déposer plainte pénale contre son ex-employeur. Il est resté en possession de ses documents d’identité. Le recourant ne donne aucune information sur la suite de la procédure prud’homale et n’indique notamment pas avoir obtenu gain de cause dans les revendications qu’il a émises au titre « d’exploitation de son travail » et avoir réussi à prouver les horaires qu’il allègue avoir effectués. Les dettes qu’il indique avoir dû contracter à l’époque de son « exploitation » ne sont prouvées par aucun document. Aucune pièce au dossier n’évoque de risques de représailles ni en Suisse ni au Kosovo. Le recourant ne fait qu’alléguer qu’il risquerait d’être exposé à son ex-employeur, albanais, qui aurait la possibilité de mettre en œuvre des actes de représailles à son encontre. Il n'existe pas de risque particulier de nouvelle victimisation en cas de retour au Kosovo, l'intéressé n'ayant pas été recruté sur place, mais par un ancien employé, à Genève, qui l’a mis en contact avec son ex‑employeur. Enfin, le fait que le recourant ait été « identifié » comme victime de traite des êtres humains par son mandataire ne suffit pas pour qu’il se voie délivrer une autorisation de séjour. « Un schéma du mécanisme de coopération administrative contre la traite d’êtres humains – volet protection et répression » publié sur le site de l’État de Genève rappelle le rôle de différents intervenants, dont le mandataire et démontre que le seul fait d’être «identifié » comme victime n’implique pas la délivrance d’une autorisation de séjour (Schéma du mécanisme de coopération pour la lutte contre la traite d'êtres humains | ge.ch).![endif]&gt;![if&gt; La qualité de victime du recourant n’est en conséquence pas établie.</w:t>
      </w:r>
    </w:p>
    <w:p>
      <w:r>
        <w:rPr>
          <w:b/>
        </w:rPr>
        <w:t>E. 9.1.2</w:t>
      </w:r>
    </w:p>
    <w:p>
      <w:r>
        <w:t>À cela s’ajoute, conformément à ce qui suit, que même à retenir un statut de victime, sa situation personnelle n’impose pas l’octroi d’un permis de séjour.![endif]&gt;![if&gt; La durée du séjour du recourant en Suisse, d'un peu plus de trois ans et demi au moment du prononcé de l'arrêt, et de moins de deux ans au moment de la décision querellée, n'est pas particulièrement longue. L'intégration professionnelle et personnelle du recourant ne peut pas être qualifiée de particulière. Il travaille en qualité d’aide-plâtrier et n’indique pas avoir un réseau social important ou s’investir dans des associations notamment culturelles ou sportives. Il n’a appris le français que récemment et ne bénéficie que d’un niveau A1. Il a perçu des prestations de l'hospice pendant quelques mois. De plus, il est arrivé à Genève une première fois à l’âge de 19 ans, en est reparti, avant de revenir à 27 ans après avoir principalement vécu au Kosovo. S'agissant de ses possibilités de réintégration dans son pays d'origine, le recourant est né au Kosovo, dont il parle la langue. Il y a vécu son enfance, son adolescence et une partie de sa vie d'adulte étant arrivé en Suisse à l'âge de 19 ans la première fois, avant de retourner dans son pays et de revenir en Suisse à l’âge de 27 ans. Il est jeune et apte à travailler. De retour dans son pays d'origine, il pourra faire valoir les connaissances linguistiques acquises en Suisse ainsi que son expérience professionnelle. À ce titre, ses allégations sur les conséquences de la guerre en Ukraine sur le secteur du bâtiment au Kosovo ne sont pas démontrées. L'intéressé ne devrait ainsi normalement pas rencontrer d'obstacles insurmontables pour se réintégrer dans son pays d’origine, grâce au soutien de ses proches restés là-bas, ses parents et un frère, avec lesquels il ne conteste pas entretenir encore des liens, puisque, notamment, il indique prendre en charge le traitement médical de sa mère. En outre, les problèmes de santé dont il souffre peuvent être traités de manière adéquate au Kosovo, conformément aux considérants qui suivent. Dans ces circonstances, il n'apparaît pas que les difficultés auxquelles le recourant devra faire face en cas de retour au Kosovo, lesquelles découlent de sa décision de venir illégalement en Suisse, seraient pour lui plus graves que pour la moyenne des étrangers, en particulier des ressortissants kosovars retournant dans leur pays, étant rappelé qu’une situation socio-économique plus difficile qu'en Suisse ne constitue pas en soi un motif permettant de retenir un cas d'extrême gravité. Il ne présente donc pas une situation de détresse personnelle au sens de l'art. 30 al. 1 let. b LEI.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toutefois pas le cas en l’espèce.</w:t>
      </w:r>
    </w:p>
    <w:p>
      <w:r>
        <w:rPr>
          <w:b/>
        </w:rPr>
        <w:t>E. 9.2</w:t>
      </w:r>
    </w:p>
    <w:p>
      <w:r>
        <w:t>L'autorité intimée était en conséquence fondée à refuser de donner une suite positive à la demande d'autorisation de séjour déposée par le recourant, et l'instance précédente à confirmer ledit refus, les conditions de l’art. 14 CTEH n’étant pas remplies, celles de l’art. 30 al. 1 let. e non plus, en l’absence de statut de victime.![endif]&gt;![if&gt; L’analyse faite sur la situation personnelle du recourant sous l’angle de l’art. 14 al. 1 let. a CTEH vaut mutatis mutandis pour les conditions de l’art. 30 al. 1 let. b LEI.</w:t>
      </w:r>
    </w:p>
    <w:p>
      <w:r>
        <w:rPr>
          <w:b/>
        </w:rPr>
        <w:t>E. 10</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w:t>
      </w:r>
    </w:p>
    <w:p>
      <w:r>
        <w:rPr>
          <w:b/>
        </w:rPr>
        <w:t>E. 10.1</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10.2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[ci-après : TAF] E-5092/2013 du 29 octobre 2013 consid 6.1 ; ATA/515/2016 du 14 juin 2016 consid. 6b).![endif]&gt;![if&gt;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TAF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10.3</w:t>
      </w:r>
    </w:p>
    <w:p>
      <w:r>
        <w:t>En l'espèce, dès lors qu'il a, à juste titre, refusé une autorisation de séjour au recourant, l'intimé devait prononcer son renvoi. ![endif]&gt;![if&gt; Le dernier certificat médical produit évoque un suivi du patient par des entretiens de soutien médico-psychologiques et un traitement antidépresseur. Le recourant a produit une traduction libre du rapport « Landinfo » du 3 mars 2023 relatif au système de soins de santé au Kosovo. Celui-ci précise que le nombre d’établissements de soins de santé mentale a considérablement augmenté depuis 2000. Les soins psychiatriques de niveau secondaire sont dispensés dans les services psychiatriques des hôpitaux régionaux de Prizren, Pejë/Pec, Gjakovë/Djakovica, Ferizaj/Urosevac et Gjilan/Gnjilane et Mitrovicë/Mtitrovica ainsi qu’à l’hôpital universitaire de Pristina. Il ne semblait pas que l’hôpital de Vushtrri/Vucitrn dispose de services psychiatriques. Un site Web fournissait des informations sur le personnel et les services de chaque hôpital. Des centres de santé mentale avaient par ailleurs été créés dans toutes les grandes villes. Il proposait des conseils et des activités de jour pour les clients, avec des thérapies individuelles, de groupe et familiales. Il proposait également des visites à domicile. Les patients étaient suivis par des psychiatres, des travailleurs sociaux et des infirmiers psychiatriques. Le rapport confirme par ailleurs que le Kosovo disposait d’une liste de médicaments essentiels basée sur les recommandations de l’ORGANISATION MONDIALE DE LA SANTÉ relative à la disponibilité des médicaments. En principe, les médicaments devaient être disponibles dans les pharmacies/hôpitaux publics et être gratuits ou soumis à un co‑paiement modique. Dans la pratique, ils étaient toutefois souvent achetés par les patients eux-mêmes et tous les médicaments figurant sur la liste n’étaient pas disponibles partout et à tout moment. L’accès s’était toutefois amélioré ces dernières années. Outre les pharmacies publiques, il existait un certain nombre de pharmacies privées, 650 en 2019, qui pouvaient importer tous les médicaments nécessaires. Les patients semblaient y avoir un bon accès aux médicaments, bien qu’ils y soient souvent chers. En conséquence, le Kosovo offre les soins nécessaires au suivi du traitement du recourant. Certes, les HUG mentionnent qu’un changement de thérapeute serait en l’état délétère. Si le renvoi imposera effectivement un changement de thérapeute, une telle situation pourrait aussi se produire en Suisse. Elle n’est par ailleurs pas de nature à rendre le renvoi du recourant illicite, impossible ou inexigible. En tous points infondés, le recours sera rejeté.</w:t>
      </w:r>
    </w:p>
    <w:p>
      <w:r>
        <w:rPr>
          <w:b/>
        </w:rPr>
        <w:t>E. 11</w:t>
      </w:r>
    </w:p>
    <w:p>
      <w:r>
        <w:t>Vu l’issue du litige, un émolument de CHF 400.- sera mis à la charge du recourant (art. 87 al. 1 LPA)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