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A/2992/2013 vom 27. November 2013</w:t>
      </w:r>
    </w:p>
    <w:p>
      <w:r>
        <w:t>GE Cour de justice, 2013-11-27, FR</w:t>
      </w:r>
    </w:p>
    <w:p>
      <w:r>
        <w:rPr>
          <w:b/>
        </w:rPr>
        <w:t xml:space="preserve">Quelle: </w:t>
      </w:r>
      <w:r>
        <w:t>https://mcp.opencaselaw.ch/entscheid/ge_gerichte_A_2992_2013</w:t>
      </w:r>
    </w:p>
    <w:p>
      <w:r>
        <w:t>FR: GE_GERICHTE A/2992/2013 du 27 novembre 2013</w:t>
      </w:r>
    </w:p>
    <w:p>
      <w:r>
        <w:t>IT: GE_GERICHTE A/2992/2013 del 27 novembre 2013</w:t>
      </w:r>
    </w:p>
    <w:p>
      <w:pPr>
        <w:pStyle w:val="Heading2"/>
      </w:pPr>
      <w:r>
        <w:t>Erwägungen</w:t>
      </w:r>
    </w:p>
    <w:p>
      <w:r>
        <w:rPr>
          <w:b/>
        </w:rPr>
        <w:t>E. 4</w:t>
      </w:r>
    </w:p>
    <w:p>
      <w:r>
        <w:t>ème Chambre En la cause Madame K__________, domiciliée à CAROUGE représentée par BUTTY SERVICES SA recourante contre CAISSE CANTONALE GENEVOISE DE COMPENSATION, Service juridique, sise rue des Gares 12, GENEVE intimée EN FAIT 1.        Par décision du 13 juillet 2013, la CAISSE CANTONALE GENEVOISE DE COMPENSATION (ci-après la caisse ou l’intimée) a fixé le montant de la taxe de formation professionnelle 2013 de Madame K__________ (ci-après l’intéressée ou la recourante) à 175 fr. Ce montant est calculé à raison de 25 fr. par salarié, sur l’effectif de 7 salariés occupés en décembre 2011. ![endif]&gt;![if&gt; 2.        Par acte du 16 septembre 2013, l’intéressée, par l’intermédiaire de son mandataire, interjette recours auprès de la Chambre de céans, relevant que les 4 salariés sont des professeurs qui sont engagés à un taux d’activité de 10 à 20%. ![endif]&gt;![if&gt; 3.        Dans sa réponse du 29 octobre 2013, la caisse rappelle le but de la loi et les principes à la base du calcul de la taxe de formation professionnelle, précisant que c’est l’effectif engagé en décembre 2011 qui est déterminant pour le calcul de la cotisation 2013 et que le taux d'occupation n'entre pas en ligne de compte dans la fixation de la cotisation. Après nouvel examen de l’attestation de salaires pour la période 2011, elle confirme devoir prendre en considération 7 salariés afin de fixer la cotisation due par la recourante. La caisse conclut au rejet du recours.![endif]&gt;![if&gt; 4.        Par courrier du 31 octobre 2013, la Chambre de céans a octroyé un délai au 14 novembre 2013 à la recourante, pour lui indiquer si, au vu des explications de la caisse, elle maintient son recours.![endif]&gt;![if&gt; 5.        La recourante ne s’étant pas déterminée dans le délai imparti, la cause a été gardée à juger. ![endif]&gt;![if&gt;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2013.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![endif]&gt;![if&gt;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 La cotisation annuelle 2013 a été fixée par le Conseil d’Etat dans sa séance du 29 août 2012 à 25 fr. par salarié. 5.        En l’occurrence, il n’est pas contesté que la recourante est affiliée à une caisse d’allocations familiales et tenue de payer des contributions, de sorte qu’elle est astreinte à la cotisation de la LFP. ![endif]&gt;![if&gt; Le montant de la cotisation 2013 ayant été fixée par le Conseil d’Etat en août 2012, c’est par conséquent l’effectif des salariés de la recourante en décembre 2011 qui est déterminant, s’agissant du nombre de salariés à prendre en compte. La Chambre de céans ne peut que se référer aux pièces du dossier et à la réponse circonstanciée de l’intimée et constater que la recourante employait bien 7 salariés en décembre 2011, ce qu’elle ne conteste au demeurant pas. C’est dès lors à juste titre que l’intimée lui a réclamé le paiement de 175 fr. à titre de cotisation LFP pour l’année 2013. Les arguments soulevés par la recourante quant au taux d'occupation des salariés sont à cet égard totalement irrelevants. 6.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