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A/297/2005 vom 6. Dezember 2004</w:t>
      </w:r>
    </w:p>
    <w:p>
      <w:r>
        <w:t>GE Cour de justice, 2004-12-06, FR</w:t>
      </w:r>
    </w:p>
    <w:p>
      <w:r>
        <w:rPr>
          <w:b/>
        </w:rPr>
        <w:t xml:space="preserve">Quelle: </w:t>
      </w:r>
      <w:r>
        <w:t>https://mcp.opencaselaw.ch/entscheid/ge_gerichte_A_297_2005</w:t>
      </w:r>
    </w:p>
    <w:p>
      <w:r>
        <w:t>FR: GE_GERICHTE A/297/2005 du 6 décembre 2004</w:t>
      </w:r>
    </w:p>
    <w:p>
      <w:r>
        <w:t>IT: GE_GERICHTE A/297/2005 del 6 dicembre 2004</w:t>
      </w:r>
    </w:p>
    <w:p>
      <w:pPr>
        <w:pStyle w:val="Heading2"/>
      </w:pPr>
      <w:r>
        <w:t>Erwägungen</w:t>
      </w:r>
    </w:p>
    <w:p>
      <w:r>
        <w:rPr>
          <w:b/>
        </w:rPr>
        <w:t>E. 2</w:t>
      </w:r>
    </w:p>
    <w:p>
      <w:r>
        <w:t>Selon le chiffre 3 du jugement précité, le Tribunal de première instance a ordonné le partage par moitié des avoirs de prévoyance professionnelle acquis par chacun des époux durant le mariage.</w:t>
      </w:r>
    </w:p>
    <w:p>
      <w:r>
        <w:rPr>
          <w:b/>
        </w:rPr>
        <w:t>E. 3</w:t>
      </w:r>
    </w:p>
    <w:p>
      <w:r>
        <w:t>Le jugement de divorce est devenu définitif le 25 janvier 2005.</w:t>
      </w:r>
    </w:p>
    <w:p>
      <w:r>
        <w:rPr>
          <w:b/>
        </w:rPr>
        <w:t>E. 4</w:t>
      </w:r>
    </w:p>
    <w:p>
      <w:r>
        <w:t>Le Tribunal de céans a sollicité des parties le nom de leur institution de prévoyance, puis a interpellé les intitutions défenderesses en les priant de lui communiquer les montants des avoirs LPP des parties acquis durant le mariage, soit entre le 24 août 1977 et le 25 janvier 2005.</w:t>
      </w:r>
    </w:p>
    <w:p>
      <w:r>
        <w:rPr>
          <w:b/>
        </w:rPr>
        <w:t>E. 5</w:t>
      </w:r>
    </w:p>
    <w:p>
      <w:r>
        <w:t>Selon le courrier de la CAISSE INTER-ENTREPRISES DE PREVOYANCE PROFESSIONNELLE du 20 décembre 2004, la prestation acquise pendant le mariage par Madame est de 4’840 fr.95, et a été transférée au 30 septembre 2004 à la FONDATION INSTITUTION SUPPLETIVE ; selon le courrier de la CAISSE DE PENSION MIGROS du 21 février 2005 celle de Monsieur est de 50’185 fr. 45.</w:t>
      </w:r>
    </w:p>
    <w:p>
      <w:r>
        <w:rPr>
          <w:b/>
        </w:rPr>
        <w:t>E. 6</w:t>
      </w:r>
    </w:p>
    <w:p>
      <w:r>
        <w:t>Ces documents ont été transmis aux parties en date du 23 février 2005. La juridiction leur a indiqué qu'à défaut d'observations d'ici au 10 mars 2005, un arrêt serait rendu sur cette base.</w:t>
      </w:r>
    </w:p>
    <w:p>
      <w:r>
        <w:rPr>
          <w:b/>
        </w:rPr>
        <w:t>E. 7</w:t>
      </w:r>
    </w:p>
    <w:p>
      <w:r>
        <w:t>En l'absence d'objections dans le délai fixé,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la partage par moitié des prestations de sortie acquises durant le mariage. Les dates pertinentes sont, d’une part, celle du mariage, le 24 août 1977, d’autre part le 25 janvier 2005, date à laquelle le jugement de divorce est devenu exécutoire. 4. Selon les documents produits, la prestation acquise pendant le mariage par Monsieur est de 50’185 fr.45 tandis que celle acquise par Madame est de 4’840 fr.95, les intérêts ayant déjà été calculés par les institutions de prévoyance défenderesses. Ainsi Monsieur doit à son ex-épouse le montant de 25'092 fr. 70 (50’185 fr.45 : 2) et celle-ci doit à celui-là le montant de 2’420 fr. 50 (4’840 fr.95: 2), de sorte que c’est Monsieur qui doit à son ex-épouse le montant de 22’672 fr. 20 fr.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6.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