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A/2978/2024 vom 14. August 2025</w:t>
      </w:r>
    </w:p>
    <w:p>
      <w:r>
        <w:t>GE Cour de justice, 2025-08-14, FR</w:t>
      </w:r>
    </w:p>
    <w:p>
      <w:r>
        <w:rPr>
          <w:b/>
        </w:rPr>
        <w:t xml:space="preserve">Quelle: </w:t>
      </w:r>
      <w:r>
        <w:t>https://mcp.opencaselaw.ch/entscheid/ge_gerichte_A_2978_2024</w:t>
      </w:r>
    </w:p>
    <w:p>
      <w:r>
        <w:t>FR: GE_GERICHTE A/2978/2024 du 14 août 2025</w:t>
      </w:r>
    </w:p>
    <w:p>
      <w:r>
        <w:t>IT: GE_GERICHTE A/2978/2024 del 14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2.1</w:t>
      </w:r>
    </w:p>
    <w:p>
      <w:r>
        <w:t>À teneur de l'art. 1 al. 1 LAA, les dispositions de la LPGA s'appliquent à l'assurance-accidents, à moins que la loi n'y déroge expressément.</w:t>
      </w:r>
    </w:p>
    <w:p>
      <w:r>
        <w:rPr>
          <w:b/>
        </w:rPr>
        <w:t>E. 2.2</w:t>
      </w:r>
    </w:p>
    <w:p>
      <w:r>
        <w:t>Le 1er janvier 2021 est entrée en vigueur la modification du 21 juin 2019 de la LPGA. Dans la mesure où le recours (du 12 septembre 2024) a été interjeté postérieurement au 1 er janvier 2021, il est soumis au nouveau droit (cf. art. 82a LPGA a contrario ).</w:t>
      </w:r>
    </w:p>
    <w:p>
      <w:r>
        <w:rPr>
          <w:b/>
        </w:rPr>
        <w:t>E. 2.3</w:t>
      </w:r>
    </w:p>
    <w:p>
      <w:r>
        <w:t>Le 1 er janvier 2017 est entrée en vigueur la modification du 25 septembre 2015 de la LAA. Dans la mesure où la rechute est survenue après cette date (le 1 er septembre 2018),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 er janvier 2017.</w:t>
      </w:r>
    </w:p>
    <w:p>
      <w:r>
        <w:rPr>
          <w:b/>
        </w:rPr>
        <w:t>E. 2.4</w:t>
      </w:r>
    </w:p>
    <w:p>
      <w:r>
        <w:t>Interjeté dans la forme et le délai prévus par la loi, le recours est recevable (art. 60 al. 1 et 61 LPGA ; art. 62 al. 1 let. a de la loi sur la procédure administrative du 12 septembre 1985 [LPA - E 5 10]).</w:t>
      </w:r>
    </w:p>
    <w:p>
      <w:r>
        <w:rPr>
          <w:b/>
        </w:rPr>
        <w:t>E. 3</w:t>
      </w:r>
    </w:p>
    <w:p>
      <w:r>
        <w:t>Le litige porte sur le degré d'invalidité du recourant, ainsi que sur le taux de l'IPAI.</w:t>
      </w:r>
    </w:p>
    <w:p>
      <w:r>
        <w:rPr>
          <w:b/>
        </w:rPr>
        <w:t>E. 4.1</w:t>
      </w:r>
    </w:p>
    <w:p>
      <w:r>
        <w:t>Selon l'art. 6 al. 1 LAA, les prestations d'assurance sont allouées en cas d'accident professionnel, d'accident non-professionnel et de maladie professionnelle.</w:t>
      </w:r>
    </w:p>
    <w:p>
      <w:r>
        <w:rPr>
          <w:b/>
        </w:rPr>
        <w:t>E. 4.2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4.3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5.1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5.2</w:t>
      </w:r>
    </w:p>
    <w:p>
      <w:r>
        <w:t>Si l'assuré est invalide (art. 8 LPGA) à 10% au moins par suite d’un accident, il a droit à une rente d'invalidité, pour autant que l’accident soit survenu avant l’âge ordinaire de la retraite (art. 18 al. 1 LAA, dans sa teneur en vigueur à compter du 1 er janvier 2017).</w:t>
      </w:r>
    </w:p>
    <w:p>
      <w:r>
        <w:rPr>
          <w:b/>
        </w:rPr>
        <w:t>E. 5.3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5.3.1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5.3.2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8.1</w:t>
      </w:r>
    </w:p>
    <w:p>
      <w:r>
        <w:t>En l'occurrence, il convient en premier lieu de déterminer quelles sont les atteintes dont l’intimée doit répondre en sa qualité d’assureur-accidents. En effet, comme le relève l’intimée, le recourant semble invoquer l’ensemble des atteintes retenues par l’OAI, puisqu’il produit à l’appui de son écriture les avis du SMR, mais également les rapports émis par son psychiatre, la Dre K______.</w:t>
      </w:r>
    </w:p>
    <w:p>
      <w:r>
        <w:rPr>
          <w:b/>
        </w:rPr>
        <w:t>E. 8.2</w:t>
      </w:r>
    </w:p>
    <w:p>
      <w:r>
        <w:t>Ont été retenues à titre d’atteintes invalidantes par le SMR : une gonarthrose, une rhizarthrose gauche, un status après cure de hernie inguinale et des troubles psychiques (trouble dépressif récurrent moyen). Le recourant n’en invoque d’ailleurs pas d’autres. Cela étant, seule la gonarthrose est du ressort de l’assurance-accidents, car en lien de causalité avec l’événement engageant la responsabilité de l’intimée. En effet, il n’est pas établi ni même allégué que la main gauche aurait été blessée lors de l’accident initial, voire même des rechutes qui ont suivi. De même, aucun lien n’a été établi entre l’accident de football de 1999 et la hernie inguinale droite traitée en 2004. Quant aux troubles psychiques, s’ils ont contribué à l’octroi d’une rente par l’assurance-invalidité, ils ne relèvent aucunement de la responsabilité de l’assureur-accidents, étant rappelé que, selon la jurisprudence rappelée supra , tout lien de causalité adéquate peut être nié d’emblée avec l’accident, celui-ci pouvant à l’évidence être qualifié de banal, puisqu’il a consisté en une simple chute. C’est par conséquent à juste titre que l’intimée a limité l’examen du droit aux prestations litigieuses aux seules séquelles physiques présentant vraisemblablement un lien de causalité naturelle avec l’accident du 23 janvier 1999, à savoir celles touchant le genou droit du recourant.</w:t>
      </w:r>
    </w:p>
    <w:p>
      <w:r>
        <w:rPr>
          <w:b/>
        </w:rPr>
        <w:t>E. 9.1</w:t>
      </w:r>
    </w:p>
    <w:p>
      <w:r>
        <w:t>L’intimée s’est principalement basée, pour évaluer la capacité résiduelle de travail du recourant, sur les rapports du Dr D______, lequel a étudié les pièces médicales au dossier, y compris les examens d'imagerie, a pris en compte les plaintes du recourant et l'a examiné à plusieurs reprises. Elle en a déduit qu’à compter du 1 er février 2024, date du dernier examen du Dr D______, le recourant avait recouvré une pleine capacité à exercer une activité adaptée aux limitations fonctionnelles en lien avec l’atteinte au genou droit.</w:t>
      </w:r>
    </w:p>
    <w:p>
      <w:r>
        <w:rPr>
          <w:b/>
        </w:rPr>
        <w:t>E. 9.2</w:t>
      </w:r>
    </w:p>
    <w:p>
      <w:r>
        <w:t>Le recourant, pour sa part, conteste les conclusions du Dr D______. En substance, il s’étonne qu’alors que le médecin d’arrondissement ait constaté, en date du 1 er février 2024, l’absence d’évolution significative par rapport à l’examen précédent du 5 juillet 2023, il ait conclu différemment, à savoir que son état de santé était désormais stabilisé et le recourant apte à exercer à plein temps une activité adaptée, c'est-à-dire permettant d’éviter le port de charges de plus de 15 à 20 kg, le port répété de charges de plus de 10 à 15 kg, la marche prolongée ainsi qu’en terrain irrégulier, les positions accroupie ou agenouillée, les activités sur échafaudages, l’utilisation répétée d’échelles et d’escaliers, ainsi que le maintien prolongé d’une position statique debout. Il relève que, le 5 juillet 2023, le Dr D______ avait indiqué que le périmètre de marche était limité à 100 mètres et que l’assuré ne pouvait plus ni monter ni descendre les escaliers. Le recourant argue que son état ne s’est pourtant pas significativement amélioré entre juillet 2023 et février 2024. Il note aussi que les limitations fonctionnelles énoncées par le Dr D______ diffèrent sensiblement de celles retenues par le SMR et les HUG, qui limitent le port de charges à 5 kg et notent une flexion/extension légèrement différente de celle mesurée par le Dr D______. Il ajoute que les médecins des HUG, contrairement au Dr D______, ont noté une atrophie du quadriceps à droite. Le recourant en tire la conclusion qu’il existerait donc un doute quant à la fiabilité et à la validité des constatations du médecin d’arrondissement, qui justifierait des investigations complémentaires.</w:t>
      </w:r>
    </w:p>
    <w:p>
      <w:r>
        <w:rPr>
          <w:b/>
        </w:rPr>
        <w:t>E. 9.3</w:t>
      </w:r>
    </w:p>
    <w:p>
      <w:r>
        <w:t>Le 5 juillet 2023, le Dr D______ a effectivement considéré, au vu de l’arthroplastie totale du genou qui était alors prévue pour le mois de novembre 2023, que l’état de l’assuré n’était pas encore stabilisé. Cela étant, il a précisé qu’en cas d’intervention, une stabilisation de l’état du genou était attendue six-neuf mois plus tard, en l’absence de complication médicale. Il n’est donc pas étonnant que, l’éventualité de l’intervention ayant été écartée, le Dr D______ ait conclu, en février 2024, à la stabilisation de l’état de santé de l’assuré, même en l’absence d’amélioration significative. Malgré la persistance de l’atteinte et la poursuite d’un traitement conservateur, vu l'absence d'amélioration significative et compte tenu du fait qu'il n'y avait plus aucune proposition chirurgicale, l'intimée était fondée à retenir que l'état de santé du recourant était stabilisé (cf. arrêt du Tribunal fédéral 8C_589/2018 du 4 juillet 2019 consid. 4.3), et à mettre un terme à la prise en charge des soins médicaux et au versement des indemnités journalières. Quant à la capacité de travail et aux limitations fonctionnelles décrites, c’est en vain que le recourant soutient que l’avis du Dr D______ serait sujet à caution. En effet, les limitations retenues dans les deux avis successivement émis par ce médecin sont similaires. On ne saurait sérieusement soutenir qu’il est différent de limiter le périmètre de marche à 100 mètres (donnée reposant sur les allégations de l’assuré, rapportées par le Dr D______) et d’indiquer qu’il est préférable d’éviter la marche prolongée. Quant au fait que le poids des charges préconisées par le SMR soit moindre, il ne porte pas à conséquence non plus. Le fait est que le port de charges, quelles qu’elles soient, est déconseillé. Il n’y a pas là matière à justifier de nouvelles investigations, la situation médicale étant clairement déterminée par tous les acteurs. On relèvera que, contrairement à ce qu’allègue le recourant, les Drs H______ et I______, des HUG, ont observé, en mai 2023 au niveau du genou droit, une flexion-extension symétrique avec le genou gauche. Il est vrai qu’en novembre 2023, les Drs H______ et J______ ont évoqué une atrophie du quadriceps, cela étant, sans donner aucune précision à cet égard, contrairement au Dr D______ qui s’est livré à une appréciation objectivée par les mesures des membres inférieurs. De telles mesures périmétriques offrent une base factuelle solide. Or, lesdites mesures n'ont pas objectivé de perte significative au niveau du périmètre du quadriceps droit. Eu égard à ce qui précède, c’est à juste titre que l’intimée a retenu, suivant en cela les conclusions du Dr D______, qui doivent se voir reconnaître pleine valeur probante, une pleine capacité de travail dans une activité adaptée. On rappellera encore que ces conclusions sont d’ailleurs corroborées par celles du Dr G______, mandaté par l’OAI dans le cadre de l’expertise pluridisciplinaire de janvier 2021. Ce médecin a conclu à une capacité de travail entière dans une activité adaptée, c’est-à-dire permettant l’alternance des positions, l’évitement du port de charges de plus de 10 kg, l’utilisation répétée d’échelles, d’échafaudages ou d’escaliers, la marche en terrain inégal, ainsi que les positions agenouillée ou accroupie. S’agissant de la possibilité d’une ablation du matériel d’ostéosynthèse et d’une éventuelle prothèse totale du genou droit, l’expert a précisé que ces interventions, si elles avaient lieu, n’auraient probablement pas d’incidence sur la capacité de travail de l’assuré.</w:t>
      </w:r>
    </w:p>
    <w:p>
      <w:r>
        <w:rPr>
          <w:b/>
        </w:rPr>
        <w:t>E. 10</w:t>
      </w:r>
    </w:p>
    <w:p>
      <w:r>
        <w:t>Reste à examiner le degré d'invalidité.</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10.2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10.3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Le point de savoir si le salaire réel aurait augmenté grâce à un développement des capacités professionnelles individuelles, notamment un changement de profession, doit être établi au degré de la vraisemblance prépondérante (cf. arrêt du Tribunal fédéral 8C_45/2022 du 3 août 2022 consid. 3.2 et les références).</w:t>
      </w:r>
    </w:p>
    <w:p>
      <w:r>
        <w:rPr>
          <w:b/>
        </w:rPr>
        <w:t>E. 10.4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w:t>
      </w:r>
    </w:p>
    <w:p>
      <w:r>
        <w:rPr>
          <w:b/>
        </w:rPr>
        <w:t>E. 11.1</w:t>
      </w:r>
    </w:p>
    <w:p>
      <w:r>
        <w:t>S’agissant du degré d’invalidité à lui reconnaître, le recourant se réfère au calcul opéré par l’OAI, lequel s’est fondé sur un salaire avant invalidité de CHF 63'259.- et sur un salaire d’invalide de CHF 59'969.-. Il propose de retenir les mêmes chiffres, en y ajoutant un abattement de 5% comme proposé par l’intimée et constate que cela aboutit à un taux d’invalidité de 10%, suffisant pour ouvrir droit à une rente.</w:t>
      </w:r>
    </w:p>
    <w:p>
      <w:r>
        <w:rPr>
          <w:b/>
        </w:rPr>
        <w:t>E. 11.2</w:t>
      </w:r>
    </w:p>
    <w:p>
      <w:r>
        <w:t>Comme il y a lieu d'examiner les conditions du droit à la rente d'invalidité dès le 1 er avril 2024, la comparaison des revenus doit se faire au regard de cette année-là.</w:t>
      </w:r>
    </w:p>
    <w:p>
      <w:r>
        <w:rPr>
          <w:b/>
        </w:rPr>
        <w:t>E. 11.3</w:t>
      </w:r>
    </w:p>
    <w:p>
      <w:r>
        <w:t>S'agissant du revenu sans invalidité que le recourant aurait pu obtenir dans son ancienne activité s’il n’avait pas été atteint dans sa santé, l’intimée l’a évalué à CHF 61'322.-, en se basant sur le montant indiqué dans la déclaration de rechute du 18 février 2016 et en l’indexant. Avant la rechute de février 2016, le recourant réalisait un revenu composé d'un salaire de base de 21.51 CHF/h., pour un horaire quotidien de 8.6 heures (43 h./sem.) ; s'y ajoutaient un treizième salaire et un bonus soumis à l'AVS de CHF 6'101.45 (pièce 22 int.). Pour déterminer le revenu sans invalidité de l'année 2024, le calcul suivant a été effectué par l’intimée : le salaire de référence de CHF 58'204.- (CHF 21.51 x 43h./sem. x 52 sem.] x 108.33 % + CHF 6' 101.45) pour l'année 2015 a d'abord été indexé à 2022 en utilisant le tableau T 1.1.10 (Indice des salaires nominaux, hommes, 201 1-2022 ; branches 49-53 « transports et entreposage, poste et courrier ») disponible à ce moment-là ; une seconde indexation à 2024 a ensuite été effectuée, en se basant sur la dernière estimation provisoire disponible lors de l'établissement de la décision initiale du 14 mars 2024, ce qui a conduit au montant final de CHF 61'322.- (cf. calcul du taux d'invalidité du 13 mars 2024, pièce 444 int.). Sur la base des dernières statistiques publiées, en tenant compte d’un revenu pour l’année 2015 de CHF 58'204.- – non contesté – et de l’indexation à 2024 (T1.1.15 indice des salaires nominaux, hommes, 2016-2023, branches 49-53 « transports et entreposage, poste et courrier » : indice 2015 : 100 ; indice 2023 : 103.7 ; dernière estimation trimestrielle : + 0.6% en 2024), le revenu sans invalidité a été réévalué par l’intimée, dans sa décision sur opposition du 2 août 2024, à CHF 60'719.69. Ce calcul ne paraît pas critiquable, étant rappelé que l'évaluation de l'invalidité par les organes de l'assurance-invalidité n'a pas force contraignante pour l'assureur-accidents. En conséquence, c’est ce dernier montant de CHF 60'719.70 qu’il convient de retenir à titre de revenu avant invalidité.</w:t>
      </w:r>
    </w:p>
    <w:p>
      <w:r>
        <w:rPr>
          <w:b/>
        </w:rPr>
        <w:t>E. 11.4</w:t>
      </w:r>
    </w:p>
    <w:p>
      <w:r>
        <w:t>En ce qui concerne le revenu avec invalidité, dès lors que le recourant n’a pas repris d’activité professionnelle, il convient de l'évaluer sur la base des statistiques salariales figurant dans l’ESS. En ce qui concerne l’année de référence des tableaux statistiques à appliquer, l’ESS 2020, le 23 août 2022. Dès lors qu’au moment où la décision litigieuse a été rendue, le 27 octobre 2022, l’intimée disposait des données 2020, le salaire avec invalidité doit être déterminé sur la base de l'ESS 2020 (arrêt du Tribunal fédéral 8C_655/2016 du 4 août 2017 consid. 6.3) et être indexé jusqu’à la date de l’ouverture (éventuelle) du droit à la rente, soit le 1 er avril 2022 (ATF 129 V 222 consid. 4.1 et 4.2). Il y a lieu de se référer au tableau TA1_tirage_skill_level, dont il ressort que le revenu statistique tiré d'activités physiques ou manuelles simples dans le secteur privé s'élève à CHF 5'261.- pour un homme (niveau 1, total, part au 13 ème salaire comprise), ou à CHF 63'132.- par année pour un plein temps (5'261.- × 12). Ceci étant précisé,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2024, année déterminante pour la comparaison des revenus. Selon le tableau publié par l'OFS le 1 er juin 2022, les salaires nominaux des hommes ont diminué de 0.7% en 2021 (disponible sur : https://www.bfs.admin.ch/ bfs/fr/home/statistiques/catalogues-banques-donnees.assetdetail.22304313.html). Selon l'estimation trimestrielle de l'évolution des salaires nominaux publiée par l'OFS le 1 er septembre 2022 (disponible sur : https://www.bfs.admin.ch/bfs/ fr/home/actualites/quoi-de-neuf.assetdetail.23104791.html), soit la plus récente au moment déterminant de la décision litigieuse d’août 2024 (cf. arrêt du Tribunal fédéral 8C_659/2022 du 2 mai 2023 consid. 7.2), les salaires nominaux ont augmenté de 2% en 2022. Il s'ensuit que le revenu d'invalide s'élève à CHF 66'073.30 pour un plein temps en 2022, correspondant à un montant de CHF 68’473.35 en 2024. On rappellera à toutes fins utiles, que, selon la jurisprudence, il existe suffisamment de possibilités d'emploi dans un marché équilibré du travail pour permettre à l’assuré de retrouver un poste respectant les limitations fonctionnelles en relation avec l’atteinte à son genou droit. Les activités de vérification et de contrôle de produits finis (dans une position assise) dans différents secteurs économiques, sont par exemple compatibles avec les limitations du recourant. Pour le surplus, l'âge du recourant (50 ans au moment déterminant) ne justifie pas un abattement, pas plus que la durée de l'absence du marché du travail, dans le contexte d'une activité adaptée relevant de tâches manuelles simples.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Le critère de la nationalité du recourant ne justifie pas non plus d'abattement sur le salaire statistique, d’autant qu’il ne l'a pas empêché de trouver un emploi en Suisse et que les salaires statistiques sont établis en fonction de la population résidente aussi bien suisse qu'étrangère (arrêt du Tribunal fédéral I.640/00 du 16 avril 2002 consid. 4d/bb [résumé in : REAS 2002 p. 308]). Partant, il n'y a pas lieu d'appliquer un abattement supérieur à 5%. En appliquant une réduction supplémentaire de 5% comme proposé par l’intimée, on obtient un montant de CHF 65'050.-. À cet égard, on relèvera encore, à l’instar de l’intimée, que le revenu d'invalide de CHF 59'969.- retenu par l’OAI pour l'année 2015 intègre déjà une réduction supplémentaire de 10% (cf. décision de l'OAI du 6 juin 2017 [pièce 89 int.] ; et ATAS/1228/2018 du 27 décembre 2018, Faits ch. 13 [pièce 157 du dossier SUVA]). Ce même revenu a été repris dans la décision ultérieure de l'office AI du 25 janvier 2024 (pièce 431 int.). En conséquence, le revenu d'invalide, comparé avec le revenu sans invalidité de CHF 60'719.69 (voire même celui de CHF 61'322.- retenu dans la décision initiale) conduit à constater l’absence de toute perte de gain. C’est dès lors à bon droit que l’intimée a nié au recourant le droit à une rente.</w:t>
      </w:r>
    </w:p>
    <w:p>
      <w:r>
        <w:rPr>
          <w:b/>
        </w:rPr>
        <w:t>E. 12</w:t>
      </w:r>
    </w:p>
    <w:p>
      <w:r>
        <w:t>Reste encore à vérifier le degré de l’IPAI accordée (25%).</w:t>
      </w:r>
    </w:p>
    <w:p>
      <w:r>
        <w:rPr>
          <w:b/>
        </w:rPr>
        <w:t>E. 12.1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 ; elle ne doit pas excéder le montant maximum du gain annuel assuré à l'époque de l'accident et elle est échelonnée selon la gravité de l'atteinte à l'intégrité (al. 1, 2 ème phr.).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12.2</w:t>
      </w:r>
    </w:p>
    <w:p>
      <w:r>
        <w:t>Selon l’art. 36 OLAA, édicté conformément à la délégation de compétence de l’art. 25 al. 2 LAA, une atteinte à l'intégrité est réputée durable lorsqu'il est prévisible qu'elle subsistera avec au moins la même gravité pendant toute la vie (al. 1, 1 ère phr.) ; elle est réputée importante lorsque l'intégrité physique ou mentale subit, indépendamment de la diminution de la capacité de gain, une altération évidente ou grave (al. 1, 2 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w:t>
      </w:r>
    </w:p>
    <w:p>
      <w:r>
        <w:rPr>
          <w:b/>
        </w:rPr>
        <w:t>E. 12.3</w:t>
      </w:r>
    </w:p>
    <w:p>
      <w:r>
        <w:t>Depuis le 1 er janvier 2016, le montant maximum du gain assuré s'élève à CHF 148'200.- par an et à CHF 406.- par jour (art. 22 al. 1 OLAA).</w:t>
      </w:r>
    </w:p>
    <w:p>
      <w:r>
        <w:rPr>
          <w:b/>
        </w:rPr>
        <w:t>E. 12.4</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13.1</w:t>
      </w:r>
    </w:p>
    <w:p>
      <w:r>
        <w:t>Le recourant conteste le taux de l’indemnisation pour atteinte à l’intégrité fixé par l’intimée à 25% en avançant que les séquelles définitives de son accident justifieraient un taux de 40%. Il fait valoir que la gonarthrose dont il souffre doit être qualifiée de grave, compte tenu de la présence d’une instabilité.</w:t>
      </w:r>
    </w:p>
    <w:p>
      <w:r>
        <w:rPr>
          <w:b/>
        </w:rPr>
        <w:t>E. 13.2</w:t>
      </w:r>
    </w:p>
    <w:p>
      <w:r>
        <w:t>En l'espèce, dans son rapport du 7 février 2024, le Dr D______, après avoir étudié le dossier du recourant et procédé à pas moins de cinq examens cliniques, a indiqué, en connaissance des limitations fonctionnelles, que le degré de l’IPAI devait être fixé à 25%. Il a expliqué avoir retenu une pangonarthrose moyenne à supérieure, avec un valgus important, tout en soulignant que les interlignes articulaires étaient encore visibles. Il a ainsi classé l’atteinte comme une arthrose moyenne, dans la partie haute de cette catégorie, en se référant à la table 5 « atteinte à l’intégrité résultant d’arthroses » (disponible sur : https://www.suva.ch/fr-ch/download/fiches-thematiques/tableau-05---atteinte-a-l-integrite-resultant-d--arthroses--2870/5.F). On rappellera ici que, s’agissant de l’examen à l’IPAI, il appartient au médecin – qui dispose des connaissances spécifiques nécessaires – de procéder aux constatations médicales. Telle n’est pas la tâche de l’assureur ou du juge, lesquels se limitent à faire une appréciation des indications données par le médecin (ATF 8C_580/2022 du 31 mars 2023 consid. 4.1.2). En l’occurrence et en l’absence d’éléments médicaux contraires, il n’y a pas lieu de s’écarter de l’avis émis en toute connaissance de cause par le Dr D______. En particulier, l’assuré ne fait valoir aucun élément médical permettant d’admettre une indemnisation plus large que celle retenue par le Dr D______. En l’occurrence, le recourant se limite à substituer sa propre évaluation à celle du médecin. Or, aucun avis médical au dossier ne procède à une évaluation divergente de son atteinte à l'intégrité ou ne permet de mettre en doute l'appréciation du médecin d’arrondissement. Bien au contraire, les documents médicaux au dossier contredisent l’existence de l’instabilité invoquée par le recourant, puisque, dans leur rapport du 9 mai 2023, les Drs H______ et I______ ont expressément mentionné n’avoir constaté aucune instabilité frontale. Aussi le taux de l'atteinte à l'intégrité arrêté à 25% ne peut-il être que confirmé.</w:t>
      </w:r>
    </w:p>
    <w:p>
      <w:r>
        <w:rPr>
          <w:b/>
        </w:rPr>
        <w:t>E. 14</w:t>
      </w:r>
    </w:p>
    <w:p>
      <w:r>
        <w:t>Au vu de ce qui précède, par appréciation anticipée des preuves (ATF 122 II 464 consid. 4a), il n'est pas nécessaire de mettre sur pied une expertise orthopédique. Le recours est rejeté. Le recourant, qui succombe, n'a pas droit à des dépens (art. 61 let. g LPGA a contrario ).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