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A/2976/2022 vom 28. Mai 2024</w:t>
      </w:r>
    </w:p>
    <w:p>
      <w:r>
        <w:t>GE Cour de justice, 2024-05-28, FR</w:t>
      </w:r>
    </w:p>
    <w:p>
      <w:r>
        <w:rPr>
          <w:b/>
        </w:rPr>
        <w:t xml:space="preserve">Quelle: </w:t>
      </w:r>
      <w:r>
        <w:t>https://mcp.opencaselaw.ch/entscheid/ge_gerichte_A_2976_2022</w:t>
      </w:r>
    </w:p>
    <w:p>
      <w:r>
        <w:t>FR: GE_GERICHTE A/2976/2022 du 28 mai 2024</w:t>
      </w:r>
    </w:p>
    <w:p>
      <w:r>
        <w:t>IT: GE_GERICHTE A/2976/2022 del 28 maggio 2024</w:t>
      </w:r>
    </w:p>
    <w:p>
      <w:pPr>
        <w:pStyle w:val="Heading2"/>
      </w:pPr>
      <w:r>
        <w:t>Erwägungen</w:t>
      </w:r>
    </w:p>
    <w:p>
      <w:r>
        <w:rPr>
          <w:b/>
        </w:rPr>
        <w:t>E. 4</w:t>
      </w:r>
    </w:p>
    <w:p>
      <w:r>
        <w:t>Reste à examiner si le renvoi des recourants et de leurs enfants est fondé.</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4.4</w:t>
      </w:r>
    </w:p>
    <w:p>
      <w:r>
        <w:t>En l'espèce, il découle des considérants qui précèdent que le renvoi des recourants et de leurs enfants est raisonnablement exigible. En particulier, l'état de santé du recourant peut très vraisemblablement continuer à être traité dans son pays d'origine, et ne présente pas le degré de gravité exigé par la jurisprudence présentée au considérant précédent. Les recourants ne soutiennent pas que leur renvoi serait impossible ou illicite, et le dossier ne contient pas d'éléments allant dans ce sens. Entièrement mal fondé, le recours sera rejeté.</w:t>
      </w:r>
    </w:p>
    <w:p>
      <w:r>
        <w:rPr>
          <w:b/>
        </w:rPr>
        <w:t>E. 5</w:t>
      </w:r>
    </w:p>
    <w:p>
      <w:r>
        <w:t>Vu l'issue du recours, un émolument de CHF 400.-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