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A/2973/2018 vom 18. September 2018</w:t>
      </w:r>
    </w:p>
    <w:p>
      <w:r>
        <w:t>GE Cour de justice, 2018-09-18, FR</w:t>
      </w:r>
    </w:p>
    <w:p>
      <w:r>
        <w:rPr>
          <w:b/>
        </w:rPr>
        <w:t xml:space="preserve">Quelle: </w:t>
      </w:r>
      <w:r>
        <w:t>https://mcp.opencaselaw.ch/entscheid/ge_gerichte_A_2973_2018</w:t>
      </w:r>
    </w:p>
    <w:p>
      <w:r>
        <w:t>FR: GE_GERICHTE A/2973/2018 du 18 septembre 2018</w:t>
      </w:r>
    </w:p>
    <w:p>
      <w:r>
        <w:t>IT: GE_GERICHTE A/2973/2018 del 18 settembre 2018</w:t>
      </w:r>
    </w:p>
    <w:p>
      <w:pPr>
        <w:pStyle w:val="Heading2"/>
      </w:pPr>
      <w:r>
        <w:t>Volltext</w:t>
      </w:r>
    </w:p>
    <w:p>
      <w:r>
        <w:t>Genève Cour de justice (Cour de droit public) Chambre des assurances sociales 18.09.2018 A/2973/2018</w:t>
      </w:r>
    </w:p>
    <w:p>
      <w:r>
        <w:t>A/2973/2018 ATAS/816/2018 du 18.09.2018 ( PC ) rÉpublique et canton de genÈve POUVOIR JUDICIAIRE A/2973/2018 ATAS/816/2018 COUR DE JUSTICE Chambre des assurances sociales Arrêt incident du 18 septembre 2018 6 ème Chambre En la cause Monsieur A______, domicilié à VERNIER, comparant avec élection de domicile en l'étude de Maître Jacques-Alain BRON recourant contre SERVICE DES PRESTATIONS COMPLÉMENTAIRES, sis route de Chêne 54, GENÈVE intimé Vu en fait la décision sur opposition du Service des prestations complémentaires (ci-après : SPC) du 29 juin 2018 notifiée à Monsieur A______ (ci-après : le recourant) mentionnant qu’un recours n’aura pas d’effet suspensif ; Vu le recours du 3 septembre 2018 interjeté auprès de la chambre des assurances sociales de la Cour de justice, concluant, préalablement, à la restitution de l’effet suspensif ; Vu l’écriture du SPC du 14 septembre 2018 selon laquelle il était d’accord avec la restitution de l’effet suspensif.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Qu’en l’occurrence, l’intimé s’étant déclaré d’accord avec la restitution de l’effet suspensif au recours, requise par le recourant, celle-ci sera prononcée. PAR CES MOTIFS, LA CHAMBRE DES ASSURANCES SOCIALES : Statuant selon l’art. 21 al. 2 LPA-GE Préalablement : 1.        Restitue l’effet suspensif.![endif]&gt;![if&gt;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