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A/2971/2016 vom 7. Mai 2015</w:t>
      </w:r>
    </w:p>
    <w:p>
      <w:r>
        <w:t>GE Cour de justice, 2015-05-07, FR</w:t>
      </w:r>
    </w:p>
    <w:p>
      <w:r>
        <w:rPr>
          <w:b/>
        </w:rPr>
        <w:t xml:space="preserve">Quelle: </w:t>
      </w:r>
      <w:r>
        <w:t>https://mcp.opencaselaw.ch/entscheid/ge_gerichte_A_2971_2016</w:t>
      </w:r>
    </w:p>
    <w:p>
      <w:r>
        <w:t>FR: GE_GERICHTE A/2971/2016 du 7 mai 2015</w:t>
      </w:r>
    </w:p>
    <w:p>
      <w:r>
        <w:t>IT: GE_GERICHTE A/2971/2016 del 7 maggio 2015</w:t>
      </w:r>
    </w:p>
    <w:p>
      <w:pPr>
        <w:pStyle w:val="Heading2"/>
      </w:pPr>
      <w:r>
        <w:t>Erwägungen</w:t>
      </w:r>
    </w:p>
    <w:p>
      <w:r>
        <w:rPr>
          <w:b/>
        </w:rPr>
        <w:t>E. 1</w:t>
      </w:r>
    </w:p>
    <w:p>
      <w:r>
        <w:t>ère Chambre En la cause Madame A______, domiciliée à GENÈVE, comparant avec élection de domicile en l'étude de Maître Cristobal ORJALES recourante contre ZURICH COMPAGNIE D'ASSURANCES SA, ZURICH VERSICHERUNG intimée EN FAIT 1.        Madame A______ (ci-après l’assurée), née le ______ 1958, a travaillé en qualité de secrétaire et comptable. À ce titre, elle était assurée auprès de la Zurich compagnie d’assurances SA (ci-après l’assureur) contre le risque accident.![endif]&gt;![if&gt; 2.        L’assurée a été victime d’un accident le 29 août 2012. Elle est tombée d’une échelle et sa tête a heurté l’angle d’une table basse. Le médecin de SOS Médecins, appelé sur place, a constaté qu’elle avait subi un traumatisme crânio-cérébral, une perte de connaissance d’une durée indéterminée et une amnésie circonstancielle. L’assureur a pris le cas en charge.![endif]&gt;![if&gt; 3.        Par décision du 7 mai 2015, l’office de l’assurance-invalidité du canton de Genève (ci-après OAI) lui a reconnu le droit à une rente entière d’invalidité dès le 1 er août 2013.![endif]&gt;![if&gt; 4.        Par décision du 21 avril 2015, l’assureur a mis fin à ses prestations LAA au 31 mars 2015, se fondant sur l’expertise pluridisciplinaire établie par la clinique Corela le 26 janvier 2015, selon laquelle le statu quo sine vel ante avait été atteint au plus tard le 8 octobre 2013.![endif]&gt;![if&gt; 5.        L’assurée, représentée par Me William DAYER, a formé opposition. Elle conteste la valeur probante de l’expertise Corela. Elle critique plus particulièrement le fait que les experts n’ont pas tenu compte des conclusions de l’OAI.![endif]&gt;![if&gt; 6.        La caisse-maladie INTRAS, à laquelle la décision du 21 avril 2015 a été notifiée, ne s’est pas manifestée.![endif]&gt;![if&gt; 7.        Par décision du 6 juillet 2016, l’assureur a rejeté l’opposition. S’agissant des conclusions de l’OAI, il relève que le médecin du Service médical régional AI a rendu un avis sur dossier, en suivant sans autres celui des médecins traitants, de sorte que son appréciation est à qualifier de superficielle. Il souligne quoi qu’il en soit que l’assureur LAA n’est pas lié par la décision de l’AI. Il considère quant à lui que l’expertise Corela a pleine valeur probante. Il rappelle que c’est sur la base de cette expertise et de son complément qu’il a nié l’existence d’un lien de causalité entre la chute du 29 août 2012 et la symptomatologie dont souffre encore l’assurée actuellement, considérant qu’aucun des critères exigés par la jurisprudence n’était réalisé en l’espèce. ![endif]&gt;![if&gt; 8.        L’assurée, représentée par Me Cristobal ORJALES, a interjeté recours le 9 septembre 2016 contre ladite décision. Elle conclut préalablement à ce que la cause soit suspendue jusqu’à droit jugé de la plainte contre X qu’elle a déposée auprès du Ministère Public le même jour pour faux dans les titres (art. 251 CP), à ce qu’une contre-expertise soit ordonnée, et principalement, à ce que la décision sur opposition du 21 avril 2015 soit annulée, à ce que les indemnités journalières et frais de traitement supprimés soient versés à nouveau dès la date de leur suppression, le 31 mars 2015, et à ce qu’elle soit mise au bénéfice d’une rente complémentaire entière d’invalidité LAA (art. 20 al. 2 LAA) dès le 1 er août 2013. ![endif]&gt;![if&gt; 9.        Dans sa réponse du 17 octobre 2016, l’assureur a conclu au rejet du recours. ![endif]&gt;![if&gt; 10.    Le 8 novembre 2016, l’assureur s’est déterminé sur la requête de l’assurée visant à la suspension de la procédure. Il considère que la plainte pénale déposée par la recourante contre X pour faux dans les titres est dépourvue de toute chance, dans la mesure où les conclusions des experts de la Clinique Corela ne sauraient tomber sous le coup de l’art. 251 CPS. Quoi qu’il en soit, une éventuelle infraction à cette disposition légale n’aurait aucune influence sur l’appréciation juridique qu’en a faite l’assureur. Il conclut dès lors à ce que la demande de suspension soit rejetée. ![endif]&gt;![if&gt; 11.    Les parties ont été informées que la cause était gardée à juger sur cette question.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l’assurée aux prestations LAA au-delà du 31 mars 2015. ![endif]&gt;![if&gt; La chambre de céans doit toutefois se prononcer préalablement sur la requête de suspension de la procédure formulée par l’assurée, jusqu’à droit jugé au pénal. 4.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5.        En l’espèce, l’assurée a informé la chambre de céans qu’elle avait déposé une plainte pénale le 9 septembre 2016 pour faux dans les titres. ![endif]&gt;![if&gt; Aux termes de l’art. 251 al. 1 CPS,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 L’assurée reproche en effet à deux experts de la clinique Corela d’avoir procédé à « des constatations fausses et des interprétations personnelles ». Elle a notamment critiqué leur affirmation selon laquelle « mon état de santé s’est sévèrement et globalement aggravé depuis l’accident » et le fait qu’« ils nient la réalisation des conditions pour l’application du syndrome post commotionnel ».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362 consid. 1b et les références). Ils doivent cependant être pris en considération dans la mesure où ils sont étroitement liés à l’objet du litige et de nature à influencer l’appréciation au moment où la décision attaquée a été rendue (ATF 99 V 98 et les arrêts cités; arrêt du Tribunal fédéral 9C_25/2012 du 25 avril 2012). Tel est notamment le cas d’un rapport médical rendu postérieurement à la date déterminante, dans la mesure où il a trait à la situation antérieure à cette date (cf. ATF 99 V 98 consid. 4 et les arrêts cités; arrêt du Tribunal fédéral 9C_537/2009 du 1 er mars 2010 consid. 3.2). 8.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133 V 450 consid. 11.1.3). Au demeurant, l'élément déterminant pour la valeur probante n'est ni l'origine du moyen de preuve ni sa désignation comme rapport ou comme expertise, mais son contenu (arrêt du Tribunal fédéral 9C_899/2013 du 24 février 2014 consid. 3.2).![endif]&gt;![if&gt; 9.        Il y a lieu de constater, au vu de ce qui précède, que, pour se prononcer sur le litige dont elle est saisie, la chambre de céans devra, sur la base de la jurisprudence susmentionnée, examiner la question de la valeur probante des documents médicaux figurant dans le dossier, et plus particulièrement de l’expertise Corela. On ne voit pas quel motif exigerait qu’elle attende l’issue de la procédure pénale pour procéder à cet examen.![endif]&gt;![if&gt; Aussi ne se justifie-t-il pas de suspendre la présente procédure jusqu’à droit jugé en pénal.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