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A/296/2023 vom 18. Dezember 2023</w:t>
      </w:r>
    </w:p>
    <w:p>
      <w:r>
        <w:t>GE Cour de justice, 2023-12-18, FR</w:t>
      </w:r>
    </w:p>
    <w:p>
      <w:r>
        <w:rPr>
          <w:b/>
        </w:rPr>
        <w:t xml:space="preserve">Quelle: </w:t>
      </w:r>
      <w:r>
        <w:t>https://mcp.opencaselaw.ch/entscheid/ge_gerichte_A_296_2023</w:t>
      </w:r>
    </w:p>
    <w:p>
      <w:r>
        <w:t>FR: GE_GERICHTE A/296/2023 du 18 décembre 2023</w:t>
      </w:r>
    </w:p>
    <w:p>
      <w:r>
        <w:t>IT: GE_GERICHTE A/296/2023 del 18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la forme et le délai prévus par la loi, le recours est recevable (art. 38 al. 4 let. b et 56 ss LPGA ; art. 62 ss et 89C let. b de la loi sur la procédure administrative du 12 septembre 1985 [LPA - E 5 10]).![endif]&gt;![if&gt;</w:t>
      </w:r>
    </w:p>
    <w:p>
      <w:r>
        <w:rPr>
          <w:b/>
        </w:rPr>
        <w:t>E. 3</w:t>
      </w:r>
    </w:p>
    <w:p>
      <w:r>
        <w:t>![endif]&gt;![if&gt;</w:t>
      </w:r>
    </w:p>
    <w:p>
      <w:r>
        <w:rPr>
          <w:b/>
        </w:rPr>
        <w:t>E. 3.1</w:t>
      </w:r>
    </w:p>
    <w:p>
      <w:r>
        <w:t>À titre liminaire, il y a lieu de circonscrire le litige.![endif]&gt;![if&gt;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Au regard de la jurisprudence relative à l'art. 25 LPGA, la procédure de restitution des prestations implique trois étapes en principe distinctes : une première décision sur le caractère indu des prestations ; une seconde décision sur la restitution en tant que telle des prestations, soit sur le point de savoir si les conditions d'une reconsidération ou d'une révision procédurale de la décision par laquelle celles-ci ont été allouées sont réalisées (ATF 130 V 318 consid. 5.2 ; arrêt du Tribunal fédéral des assurances C 207/04 du 20 janvier 2006 consid. 4)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OPGA ; arrêt du Tribunal fédéral 9C_678/2011 du 4 janvier 2012 consid. 5.1.1 et 5.2).</w:t>
      </w:r>
    </w:p>
    <w:p>
      <w:r>
        <w:rPr>
          <w:b/>
        </w:rPr>
        <w:t>E. 3.2</w:t>
      </w:r>
    </w:p>
    <w:p>
      <w:r>
        <w:t>En Suisse, l’assurance-chômage ne relève pas d’un organe d’exécution unique cantonal ou fédéral, chargé à la fois d’indemniser les assurés et de les conseiller (Carnal, L’organisation de l’assurance-chômage en Suisse, in RSAS 2017 p. 385). En effet, à teneur de 76 LACI, sont notamment chargés de l’application du régime de l’assurance: a. les caisses de chômage publiques et les caisses de chômage privées agréées (art. 77 à 82) et c. les organes d’exécution désignés par les cantons : l’autorité cantonale (art. 85), les offices régionaux de placement (art. 85b) et le service de logistique des mesures relatives au marché du travail (service LMMT ; art. 85c).![endif]&gt;![if&gt; Selon l’art. 81 LACI, les caisses déterminent entre autres le droit aux prestations en tant que cette tâche n’est pas expressément réservée à un autre organe (al. 1 let. a). La caisse peut soumettre un cas à l’autorité cantonale pour décision, lorsqu’elle a notamment des doutes quant à savoir si l’assuré a droit à l’indemnité (al. 2 let. a). Aux termes de l'art. 85 al. 1 let. e LACI, les autorités cantonales statuent sur les cas qui leur sont soumis par les caisses de chômage, concernant le droit de l'assuré à l'indemnité (art. 81 al. 2 let. a LACI). Le cas échéant, elles sont appelées à se prononcer sur la question de l'aptitude au placement, qui est l'une des conditions du droit à l'indemnité de chômage (art. 8 al. 1 let. f LACI). A cet effet, elles statuent sous la forme d'une décision de constatation, laquelle détermine l'objet de la contestation pouvant être déféré en justice par voie de recours (arrêt du Tribunal fédéral des assurances C 112/01 du 15 février 2002 consid. 1a). À Genève, selon l’art. 3 du règlement d'exécution de la loi en matière de chômage du 23 janvier 2008 (RMC - J 2 20.01), c’est l’OCE qui est l'autorité cantonale compétente au sens de LACI et de la loi en matière de chômage du 11 novembre 1983 (LMC - J 2 20). Lorsque l’autorité cantonale constate que les conditions du droit à des indemnités de chômage déjà allouées n’étaient pas réalisées, les prestations en causes apparaissent comme indûment perçues. La caisse est alors tenue d’en exiger la restitution conformément aux art. 95 al. 1 LACI et 25 LPGA, pour autant que les conditions d’une reconsidération ou d’une révision procédurale soient réalisées (ATF 129 V 110 consid. 1.1 ; RUBIN, Commentaire de la loi sur l’assurance-chômage, 2014, n° 16 ad. art. 85 p. 556). Ces conditions n’ont pas à être examinées par l’autorité cantonale appelée à se prononcer sur le cas soumis à examen. Ce n’est qu’au moment où la caisse entend récupérer les prestations indûment versées qu’il y a lieu d’examiner – pour la première fois – si les conditions d’une révocation des décisions (non formelles en l’occurrence) de versement des indemnités sont réunies (cf. RUBIN, n° 16 ad. art. 81 p. 532).</w:t>
      </w:r>
    </w:p>
    <w:p>
      <w:r>
        <w:rPr>
          <w:b/>
        </w:rPr>
        <w:t>E. 3.3</w:t>
      </w:r>
    </w:p>
    <w:p>
      <w:r>
        <w:t>En l’espèce, dans la décision sur opposition querellée, l’OCE s'est uniquement prononcé, sous la forme d'une décision en constatation, sur les conditions du droit à l'indemnité de chômage et plus particulièrement sur l’existence d’un droit à travailler en Suisse. L’intimé n’a, en revanche, pas statué sur la question de la restitution des indemnités de chômage versées à tort.![endif]&gt;![if&gt; Partant, le litige ne porte que sur le bien-fondé de la décision de l’OCE de nier à l'assurée le droit à l'indemnité de chômage depuis mai 2021 faute d’autorisation d’y travailler. Elle ne porte pas sur le principe de la restitution des prestations et son montant, la compétence pour requérir dite restitution appartenant d’ailleurs à la caisse (art. 95 LACI) Les conclusions de la recourante tendant à la constatation qu’elle ne doit pas rembourser les indemnités chômage perçues sont donc irrecevables. Dans cette mesure et comme rappelé ci-avant, c’est également dans le cadre de l’éventuelle demande ultérieure de restitution des prestations déjà allouées que la recourante pourra faire examiner si les conditions d’une reconsidération sont ou non réalisées (cf. RUBIN, op. cit.). Le litige porte ainsi uniquement sur le bien-fondé de la décision d’inaptitude au placement de la recourante en raison du défaut d'une autorisation de travail.</w:t>
      </w:r>
    </w:p>
    <w:p>
      <w:r>
        <w:rPr>
          <w:b/>
        </w:rPr>
        <w:t>E. 4</w:t>
      </w:r>
    </w:p>
    <w:p>
      <w:r>
        <w:t>![endif]&gt;![if&gt;</w:t>
      </w:r>
    </w:p>
    <w:p>
      <w:r>
        <w:rPr>
          <w:b/>
        </w:rPr>
        <w:t>E. 4.1</w:t>
      </w:r>
    </w:p>
    <w:p>
      <w:r>
        <w:t>Un assuré a droit aux indemnités de chômage s'il remplit un certain nombre de conditions cumulatives, dont en particulier celle d'être apte au placement (art. 8 al. 1 let. f LACI).![endif]&gt;![if&gt; Est réputé apte à être placé le chômeur qui est disposé à accepter un travail convenable et à participer à des mesures d'intégration et qui est en mesure et en droit de le faire (art. 15 al. 1 LACI).</w:t>
      </w:r>
    </w:p>
    <w:p>
      <w:r>
        <w:rPr>
          <w:b/>
        </w:rPr>
        <w:t>E. 4.2</w:t>
      </w:r>
    </w:p>
    <w:p>
      <w:r>
        <w:t>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 ATF 123 V 216 consid. 3 et la référence). ![endif]&gt;![if&gt;</w:t>
      </w:r>
    </w:p>
    <w:p>
      <w:r>
        <w:rPr>
          <w:b/>
        </w:rPr>
        <w:t>E. 4.3</w:t>
      </w:r>
    </w:p>
    <w:p>
      <w:r>
        <w:t>Pour une personne de nationalité étrangère domiciliée en Suisse, 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arrêt du Tribunal fédéral des assurances C 248/06 du 24 avril 2007 consid. 2.1) - si l'assuré, ressortissant étranger, pouvait ou non compter sur l'obtention d'une autorisation de travail (arrêts du Tribunal fédéral 8C_654/2019 du 14 avril 2020 consid. 2.1 et 8C_581/2018 du 25 janvier 2019 consid. 2.2, et références citées). L'aptitude au placement sera ainsi admise pour autant que l’intéressé puisse s'attendre à obtenir une telle autorisation dans l'hypothèse où il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et l'intégration du 16 décembre 2005 (LEI - RS 142.20) pour savoir si la personne intéressée peut s'attendre à obtenir une autorisation de travail (ATF 120 V 385 consid. 2c ; Boris RUBIN, Commentaire de la loi sur l'assurance-chômage 2014, p. 169 n. 72). Si l'instance du marché du travail a émis un préavis négatif concernant le permis de travail, l'aptitude au placement doit être niée (arrêt du Tribunal fédéral des assurances C 258/00 du 6 août 2001). ![endif]&gt;![if&gt;</w:t>
      </w:r>
    </w:p>
    <w:p>
      <w:r>
        <w:rPr>
          <w:b/>
        </w:rPr>
        <w:t>E. 5</w:t>
      </w:r>
    </w:p>
    <w:p>
      <w:r>
        <w:t>![endif]&gt;![if&gt;</w:t>
      </w:r>
    </w:p>
    <w:p>
      <w:r>
        <w:rPr>
          <w:b/>
        </w:rPr>
        <w:t>E. 5.1</w:t>
      </w:r>
    </w:p>
    <w:p>
      <w:r>
        <w:t>Selon l’art. 3 al. 1 LEI,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![endif]&gt;![if&gt; Aux termes de l'art. 18 LEI, un étranger peut être admis en vue de l'exercice d'une activité lucrative salariée aux conditions suivantes : son admission sert les intérêts du pays (let. a) ; son employeur a déposé une demande (let. b) ; les conditions fixées aux art. 20 à 25 sont remplies. 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rPr>
          <w:b/>
        </w:rPr>
        <w:t>E. 5.2</w:t>
      </w:r>
    </w:p>
    <w:p>
      <w:r>
        <w:t>Les conditions d'admission doivent principalement être respectées lors de la première arrivée d'un étranger en Suisse. Cependant, elles peuvent aussi jouer un rôle lors de la prolongation d'une autorisation accordée. Si toutes les conditions ne sont plus remplies, cela peut amener les autorités à refuser la prolongation d'une autorisation de séjour. Certaines conditions d'admission, comme avant tout les mesures de limitation (art. 20 LEI) et la priorité du recrutement (art. 21 LEI) sont valables seulement lors de l'admission initiale. Cependant, la reprise d'une activité lucrative après une présence sans une telle activité est soumise aux mêmes conditions que la première admission en vue d'une activité lucrative, sous réserve des exceptions légales. Lors de l'arrêt d'une activité lucrative, notamment pour cause de retraite ou de perte de poste de travail, le but de la présence peut avoir disparu ou changé. ![endif]&gt;![if&gt;</w:t>
      </w:r>
    </w:p>
    <w:p>
      <w:r>
        <w:rPr>
          <w:b/>
        </w:rPr>
        <w:t>E. 5.3</w:t>
      </w:r>
    </w:p>
    <w:p>
      <w:r>
        <w:t>Les autorités examineront alors si l'autorisation reste valable ou si les conditions d'une nouvelle autorisation ou d'une éventuelle révocation de l'autorisation existante (voir l'art. 62 LEI) sont remplies (cf. Peter UEBERSAX, in Minh Son NGUYEN, Cesla AMARELLE [éd.], Code annoté de droit des migrations, Vol. II, Loi sur les étrangers [LEtr], pp. 136-137). Selon l'art. 54 de l'ordonnance relative à l'admission, au séjour et à l'exercice d'une activité lucrative du 24 octobre 2007 (OASA - RS 142.201), si une autorisation de séjour ou de courte durée a été octroyée en vertu d'une disposition d'admission pour un séjour avec un but déterminé, une nouvelle autorisation est requise si le but du séjour change. Les autorités compétentes bénéficient d'un large pouvoir d'appréciation ( ATA/795/2020 du 25 août 2020 consid. 7c ; ATA/1660/2019 du 12 novembre 2019 consid. 4b). En raison de sa formulation potestative, les art. 18 et 19 LEI ne confèrent aucun droit à l'autorisation sollicitée ( ATA/361/2020 du 16 avril 2020 consid. 4b ; ATA/1660/2019 précité consid. 4b et l'arrêt cité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3).![endif]&gt;![if&gt;</w:t>
      </w:r>
    </w:p>
    <w:p>
      <w:r>
        <w:rPr>
          <w:b/>
        </w:rPr>
        <w:t>E. 5.4</w:t>
      </w:r>
    </w:p>
    <w:p>
      <w:r>
        <w:t>Selon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![endif]&gt;![if&gt;</w:t>
      </w:r>
    </w:p>
    <w:p>
      <w:r>
        <w:rPr>
          <w:b/>
        </w:rPr>
        <w:t>E. 6</w:t>
      </w:r>
    </w:p>
    <w:p>
      <w:r>
        <w:t>À Genève, selon l’art. 6 du règlement cantonal d’application de la LEI du 9 mars 2009 (RaLEtr F 2 10.01), toute demande d'autorisation doit parvenir à l'office cantonal de la population et des migrations au moyen du formulaire officiel (al. 1). Dans les cas prévus par la loi fédérale et l'ordonnance fédérale, l'office cantonal de la population et des migrations requiert la décision préalable de l'office cantonal de l'inspection et des relations du travail (al. 3). L'office cantonal de l'inspection et des relations du travail rend la décision préalable en matière de marché du travail, après consultation de la commission. La commission peut toutefois renoncer à examiner certaines catégories de demandes (al. 4). À teneur de l’art. 4 al. 1 RaLEtr,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l'office cantonal de l'inspection et des relations du travail, au sens de l'art. 6 RaLEtr.![endif]&gt;![if&gt;</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5a).![endif]&gt;![if&gt;</w:t>
      </w:r>
    </w:p>
    <w:p>
      <w:r>
        <w:rPr>
          <w:b/>
        </w:rPr>
        <w:t>E. 8</w:t>
      </w:r>
    </w:p>
    <w:p>
      <w:r>
        <w:t>En l’espèce, la caisse est, de facto , entrée en matière sur la demande de prestations de la recourante en lui octroyant initialement l’indemnité chômage dès le mois de mai 2022. Suite à un doute sur l’aptitude au placement de l’intéressée, la question a cependant été transmise au service juridique de l’intimé, autorité cantonale compétente et entité distincte de la caisse, afin qu’il la tranche. ![endif]&gt;![if&gt; Force est ainsi de constater qu’au moment déterminant de la décision sur opposition du 13 décembre 2022 (ATF 143 V 168 consid. 2), la recourante ne disposait plus d’un permis de séjour ni d’une autorisation de travailler et que l’OCPM lui avait en outre communiqué son intention de ne pas renouveler son permis de séjour et de la renvoyer du territoire suisse. Sur demande de l’OCE, l’OCPM avait en outre confirmé à deux reprises, les 19 septembre et 29 novembre 2022, que l’autorisation de travail de l’intéressée était liée à son ex-employeur, de sorte qu’elle n’était pas autorisée à travailler pour qui que ce soit d’autre. Si un autre employeur était prêt à l’engager, il devrait d’abord préparer un dossier la concernant et le transmettre à l’OCPM qui ferait ensuite suivre au service de la main-d’œuvre étrangère de l’OCIRT. L’intéressée ne pourrait pas débuter une possible activité sans l’aval de l’OCIRT et du SEM, et qu’il y aurait prise d’une unité sur le contingent. La situation n’était par ailleurs guère plus favorable auparavant, soit au 1 er mai 2022. En effet, le seul fait que la recourante disposait encore d’un permis de séjour valable jusqu’au 2 août 2022 n’est pas décisif dans la mesure où celui-ci ne lui permettait de toute manière pas de travailler sans autorisation pour un autre employeur que celui qui l’avait licenciée. L’intéressée n’allègue d’ailleurs pas pouvoir prétendre à un permis de travail non conditionné, ni qu’un employeur ait manifesté la volonté de déposer une demande pour son compte en vue de l’obtention d’un tel permis, ni même que son admission servirait les intérêts du pays (art. 18 let. a LEI) ou serait justifiée par le fait qu’un profil semblable au sien ne pourrait être trouvé parmi les travailleurs en Suisse ou les ressortissant d'un État avec lequel a été conclu un accord sur la libre circulation des personnes (art. 21 al. 1 LEI). Aucun indice concret n’est avancé à cet égard. Ainsi, au terme d’un examen global de ces circonstances, il y a lieu de considérer que, faute de tout indice concret en ce sens et au vu des informations recueillies par l’intimé auprès de l’OCPM, la recourante ne pouvait pas compter, au degré de preuve requis de la vraisemblance prépondérante, sur l’obtention d’une autorisation de travailler, ce à un quelconque moment depuis son inscription au chômage. La constatation de son inaptitude au placement par l’intimé dès le 1 er mai 2022 était donc justifiée. L’aptitude au placement constituant l’une des conditions nécessaires du droit à l’indemnité, c’est également à juste titre que ce droit lui a été nié par l’intimé dans sa décision du 13 décembre 2022, ce quand bien même l’intéressée remplissait pour le surplus effectivement les autres conditions de l’art. 8 LACI.</w:t>
      </w:r>
    </w:p>
    <w:p>
      <w:r>
        <w:rPr>
          <w:b/>
        </w:rPr>
        <w:t>E. 9</w:t>
      </w:r>
    </w:p>
    <w:p>
      <w:r>
        <w:t>![endif]&gt;![if&gt;</w:t>
      </w:r>
    </w:p>
    <w:p>
      <w:r>
        <w:rPr>
          <w:b/>
        </w:rPr>
        <w:t>E. 9.1</w:t>
      </w:r>
    </w:p>
    <w:p>
      <w:r>
        <w:t>La recourante fait encore valoir une violation par l’intimé du principe constitutionnel de la bonne foi. En l’informant de l’ouverture, par la caisse, d’un délai-cadre d’indemnisation courant du 1 er mai 2022 au 30 avril 2024, il aurait de facto admis qu’elle avait un droit à l’indemnité de chômage, ce qui constituerait une « décision implicite » d’aptitude au placement. Sur cette base, elle avait pris des dispositions irréversibles. En effet, si elle avait su d’emblée qu’elle était inapte au placement, elle aurait certainement pris la décision de retourner aux États-Unis, étant donné que les moyens financiers à sa disposition ne lui permettaient pas de subvenir seule à ses besoins ainsi qu’à ceux de ses deux enfants. Elle ne devrait pas non plus rembourser, le cas échéant, les prestations journalières perçues indûment. Enfin, elle n’aurait pas consacré son temps libre à envoyer des postulations diverses et à demander le renouvellement de son permis de séjour. ![endif]&gt;![if&gt;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Il est question ici d’une violation du principe de la bonne foi par l’administration et non pas par le bénéficiaire, cette dernière question s’examinant uniquement au stade d’une éventuelle demande de remise de l’obligation de restituer (Boris RUBIN, Commentaire de la loi sur l'assurance-chômage, 2014, n. 20 ad. art. 95 LACI). D'après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précité consid. 4.1). À cet égard,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(arrêts 9C_56/2011 du 19 octobre 2011 consid. 5.2 et 8C_796/2007 du 22 octobre 2008 consid. 3.1).</w:t>
      </w:r>
    </w:p>
    <w:p>
      <w:r>
        <w:rPr>
          <w:b/>
        </w:rPr>
        <w:t>E. 9.2</w:t>
      </w:r>
    </w:p>
    <w:p>
      <w:r>
        <w:t>En l’espèce, comme l’intimé le soulève à juste titre, il est une entité distincte de la caisse de chômage. En outre, il n’a jamais donné d’informations à la recourante concernant son droit à l’indemnité avant sa décision d’inaptitude au placement du 29 septembre 2022. Cette décision faisait d’ailleurs suite à la transmission du dossier par l’ORP, le 13 septembre 2022, du fait précisément d’un doute sur l’aptitude au placement. Avant que cette question ne lui soit soumise, il n’était d’ailleurs pas compétent pour la trancher. Dans ces circonstances, le seul fait d’avoir informé la recourante que la caisse de chômage avait ouvert un délai-cadre d’indemnisation en sa faveur ne saurait être considéré comme une quelconque reconnaissance, même informelle, de l’aptitude au placement sur laquelle elle aurait légitimement pu se fonder. Dans ces circonstances, l’autorité intimée ne peut pas avoir violé le principe de la bonne foi.![endif]&gt;![if&gt;</w:t>
      </w:r>
    </w:p>
    <w:p>
      <w:r>
        <w:rPr>
          <w:b/>
        </w:rPr>
        <w:t>E. 9.3</w:t>
      </w:r>
    </w:p>
    <w:p>
      <w:r>
        <w:t>Il sied de souligner que le présent arrêt ne préjuge en rien de l’issue d’une éventuelle procédure future en restitution des prestations touchées à tort, dont la prérogative appartient à la caisse. Le respect du principe de la bonne foi par la caisse pourra ainsi être examiné dans cette seconde procédure, tout comme pourra l’être celui de la bonne foi de l’administré dans le cadre d’une éventuelle demande ultérieure de remise de l’obligation de restituer (cf. partie relative à l’objet du litige ci-dessus).![endif]&gt;![if&gt;</w:t>
      </w:r>
    </w:p>
    <w:p>
      <w:r>
        <w:rPr>
          <w:b/>
        </w:rPr>
        <w:t>E. 10</w:t>
      </w:r>
    </w:p>
    <w:p>
      <w:r>
        <w:t>En conséquence, la décision sur opposition querellée est en tous points conforme au droit.![endif]&gt;![if&gt;</w:t>
      </w:r>
    </w:p>
    <w:p>
      <w:r>
        <w:rPr>
          <w:b/>
        </w:rPr>
        <w:t>E. 11</w:t>
      </w:r>
    </w:p>
    <w:p>
      <w:r>
        <w:t>Le recours est, partant, rejeté.![endif]&gt;![if&gt; La procédure est gratuite (art. 61 let. fbis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