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A/2968/2016 vom 13. Oktober 2016</w:t>
      </w:r>
    </w:p>
    <w:p>
      <w:r>
        <w:t>GE Cour de justice, 2016-10-13, FR</w:t>
      </w:r>
    </w:p>
    <w:p>
      <w:r>
        <w:rPr>
          <w:b/>
        </w:rPr>
        <w:t xml:space="preserve">Quelle: </w:t>
      </w:r>
      <w:r>
        <w:t>https://mcp.opencaselaw.ch/entscheid/ge_gerichte_A_2968_2016</w:t>
      </w:r>
    </w:p>
    <w:p>
      <w:r>
        <w:t>FR: GE_GERICHTE A/2968/2016 du 13 octobre 2016</w:t>
      </w:r>
    </w:p>
    <w:p>
      <w:r>
        <w:t>IT: GE_GERICHTE A/2968/2016 del 13 ottobre 2016</w:t>
      </w:r>
    </w:p>
    <w:p>
      <w:pPr>
        <w:pStyle w:val="Heading2"/>
      </w:pPr>
      <w:r>
        <w:t>Volltext</w:t>
      </w:r>
    </w:p>
    <w:p>
      <w:r>
        <w:t>Genève Cour de justice (Cour de droit public) Chambre des assurances sociales 13.10.2016 A/2968/2016</w:t>
      </w:r>
    </w:p>
    <w:p>
      <w:r>
        <w:t>A/2968/2016 ATAS/821/2016 du 13.10.2016 ( AI ) En fait En droit rÉpublique et canton de genÈve POUVOIR JUDICIAIRE A/2968/2016 ATAS/821/2016 COUR DE JUSTICE Chambre des assurances sociales Arrêt incident du 13 octobre 2016 4 ème Chambre En la cause Monsieur A______, domicilié à GENÈVE, comparant avec élection de domicile en l'étude de Maître Cédric KURTH recourant contre OFFICE DE L'ASSURANCE-INVALIDITÉ DU CANTON DE GENÈVE, sis rue des Gares 12, GENÈVE intimé EN FAIT 1.        Monsieur A______ (ci-après l’assuré ou le recourant), né le ______ 1973, a suivi les cours de la Haute école commerciale de l’Université de Genève d’octobre 1995 à juillet 1997. En janvier 2008, il a obtenu le brevet fédéral de spécialiste en finance et comptabilité. ![endif]&gt;![if&gt; 2.        L’assuré a été employé en qualité de chef comptable et responsable administratif par la société B______ SA du 1 er janvier 2003 au 31 juillet 2005. Dès le 15 juillet 2005, il a été engagé en qualité de comptable-gestionnaire par la société C______ SA (ci-après l’employeur), à Genève, pour un salaire annuel de CHF 82'492.- dès le 1 er janvier 2009, soit CHF 65'994.- de salaire de rendement et CHF 16'498.- de part de salaire social.![endif]&gt;![if&gt; 3.        Depuis le 12 mars 2009, l’assuré a subi diverses incapacités de travail, entrecoupées de reprises à 100%. En 2010, les médecins ont diagnostiqué une sclérose en plaque, affection qui a entraîné une fatigabilité ainsi que des troubles sensitifs des membres inférieurs et une incapacité de travail permanente de 50%.![endif]&gt;![if&gt; 4.        L’assuré a déposé une demande de rente auprès de l’office cantonal de l’assurance-invalidé (ci-après l’OAI) en date du 6 septembre 2010, qui a été refusée, motif pris que le droit à la rente ne pouvait naître qu’à l’échéance du nouveau délai d’attente, le 2 août 2011 (décision du 21 février 2011). ![endif]&gt;![if&gt; 5.        Suite à la nouvelle demande de prestations déposée par l’assuré le 26 juillet 2011, l’OAI, par décision du 4 novembre 2011, lui a reconnu un degré d’invalidité et octroyé une demi-rente d’invalidité dès le 1 er août 2011. Depuis le 1 er septembre 2012, l’assuré perçoit une rente complémentaire pour son fils D______.![endif]&gt;![if&gt; 6.        L’OAI a initié une procédure de révision en mars 2014. Selon les renseignements médicaux obtenus des docteurs E______, médecin-adjoint agrégé, service de neurologie des Hôpitaux universitaires de Genève (HUG), et F______, spécialiste FMH en médecine interne, l’état de santé est stationnaire, bien qu’altéré, et le pronostic réservé. Seule une activité en position assise est exigible, les capacités de concentration, compréhension, d’adaptation et de résistance sont limitées. La capacité de travail est de 50% depuis 2011.![endif]&gt;![if&gt; 7.        À la demande de l’OAI, l’employeur a communiqué le 5 novembre 2014 que le salaire actuel de l’assuré s’élevait à CHF 64'000.- par an pour son activité à 50%. Le 23 décembre 2014, l’assuré a fait savoir à l’OAI que le propriétaire de la société ne souhaitait pas transmettre copies de ses bilans et comptes de pertes et profits des cinq dernières années et qu’il ne possédait pas de part au capital de son entreprise.![endif]&gt;![if&gt; 8.        Le 10 juillet 2015, l’assuré a communiqué à l’OAI copies de ses déclarations fiscales de 2009 à 2014.![endif]&gt;![if&gt; 9.        Dans une note de travail du 25 janvier 2016, l’OAI relève que l’assuré est inscrit au registre du commerce en tant qu’administrateur de C______ SA, avec signature individuelle, qu’il possédait en 2010 et 2011 douze actions de la société, onze en 2013 et aucune en 2014. Il convient de considérer l’assuré comme une personne salariée et d’investiguer les raisons pour lesquelles son salaire n’a pas été diminué malgré une incapacité de travail à 50%. ![endif]&gt;![if&gt; 10.    L’OAI a notifié à l’assuré, le 18 mars 2016, un projet de suppression de rente d’invalidité, motif pris qu’il n’avait pas de perte de gain depuis le début de son affection durable et que sa décision du 4 novembre 2011 était manifestement erronée. Mention était faite qu’à la suite de l’écoulement du délai de trente jours, qui ne pouvait être prolongé, une décision sujette à recours lui sera notifiée. ![endif]&gt;![if&gt; 11.    Par courrier du 5 avril 2016, reçu le 6 avril par l’OAI, l’assuré a sollicité une prolongation du délai, afin de réunir tous les documents utiles. Le 29 avril 2016, il a réitéré sa demande.![endif]&gt;![if&gt; 12.    Dans le délai imparti par l’OAI, l’assuré a produit un courrier de son employeur, daté du 23 mai 2016, aux termes duquel, compte tenu de sa position et du plan de rémunération en vigueur dans l’entreprise, il toucherait pour une pleine capacité de travail une rémunération comprise entre CHF 104'000.- et 120'000. En outre, dans sa rémunération actuelle sont inclus des frais forfaitaires de représentation de CHF 6'000.- par an.![endif]&gt;![if&gt; 13.    Par décision du 1 er juillet 2016, l’OAI (ci-après l’intimé) a supprimé la demi-rente d’invalidité de l’assuré avec effet au premier jour du deuxième mois suivant la notification. L’effet suspensif a été retiré. Selon l’intimé, à la lecture du dossier, il n’y a aucune perte de gain depuis le début de l’affection médicale en 2009. La décision du 4 novembre 2011 est manifestement erronée, de sorte qu’elle peut être reconsidérée. Quant au courrier de l’employeur, il n’est pas probant et ne démontre pas pour quelles raisons l’intimé devrait s’écarter des revenus perçus avant l’atteinte à la santé.![endif]&gt;![if&gt; 14.    Par acte du 9 septembre 2016, l’assuré, par l’intermédiaire de son mandataire, interjette recours, concluant préalablement à la restitution de l’effet suspensif. Sur le fond, il conteste l’argument de l’intimé selon lequel la décision du 4 novembre 2011 serait manifestement erronée. L’intimé avait pris sa décision en pleine connaissance du dossier, aussi bien sur le plan médical que sur le plan de sa situation économique. Le recourant reproche à l’intimé de n’avoir pas investigué les raisons pour lesquelles son salaire n’aurait apparemment pas été diminué. Il explique notamment, pièces à l’appui, les raisons pour lesquelles ses salaires précédant la maladie étaient minorés en comparaison de ce qu’ils auraient dû être si la société était en bonne santé financière. C’est de manière arbitraire que l’intimé a pris sa décision, violant ainsi les principes constitutionnels.![endif]&gt;![if&gt; 15.    Dans sa réponse du 21 septembre 2016, l’intimé s’oppose à la restitution de l’effet suspensif, les chances de succès du recourant sur le fond ne paraissant pas évidentes à première vue.![endif]&gt;![if&gt; 16.    Sur quoi, la cause a été gardée à juger sur effet suspensif.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Interjeté dans la forme et le délai prévus par la loi, le recours est prima facie recevable (art. 56 et 60 de la LPGA; art. 89B de la loi sur la procédure administrative du 12 septembre 1985 [(LPA-GE - E 5 10)].![endif]&gt;![if&gt; 4.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7.        En l’espèce, l’intimé a considéré que sa première décision d’octroi de la rente était manifestement erronée ; si l’état de santé du recourant est resté stationnaire, il n’a en réalité subi aucune perte de gain depuis le début de son affection médicale en 2009, malgré une incapacité de travail de 50%. ![endif]&gt;![if&gt; Le recourant conteste que la décision du 4 novembre 2011 était manifestement erronée, dès lors que l’intimé a choisi en toute connaissance de cause de renoncer à une comparaison des gains, considérant que l’incapacité de travail se confondait avec son incapacité de gain. En outre, l’employeur a confirmé, par courrier du 23 mai 2016, qu’en bonne santé, s’il avait la capacité de travailler à plein temps, il percevrait une rémunération comprise entre CHF 104'000.- et CHF 120'000.- . Il n’y a ainsi pas lieu à reconsidération. Se référant à l’attestation de non poursuite produite le 6 octobre 2010, le recourant soutien que c’est de façon arbitraire que l’intimé s’oppose à la restitution de l’effet suspensif en invoquant le risque important qu’il ne puisse rembourser les prestations qui seraient versées à tort. En l’état actuel de la procédure, la chambre de céans constate que les prévisions relatives à l’issue du litige ne présentent pas un degré de certitude suffisant pour conclure au maintien de la demi-rente d’invalidité. Plusieurs questions doivent en effet être examinées soigneusement, notamment celle relative à la reconsidération d’une décision, de même que celle concernant les gains avec et sans invalidité. Dans ces conditions, l’intérêt de l’assurance-invalidité à supprimer ses prestions l’emporte sur celle du recourant à continuer de percevoir une rente partielle d’invalidité durant la procédure. Par conséquent, c’est à juste titre que l’intimé a retiré l’effet suspensif. 8.        Au vu de ce qui précède, la requête en rétablissement de l’effet suspensif est rejetée.![endif]&gt;![if&gt; PAR CES MOTIFS, LA CHAMBRE DES ASSURANCES SOCIALES : Statuant selon l’art. 21 al. 2 LPA À la forme : 1.        Déclare le recours recevable.![endif]&gt;![if&gt; Sur incident : 2.        Rejette la requête en restitution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