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A/2966/2023 vom 30. Oktober 2023</w:t>
      </w:r>
    </w:p>
    <w:p>
      <w:r>
        <w:t>GE Cour de justice, 2023-10-30, FR</w:t>
      </w:r>
    </w:p>
    <w:p>
      <w:r>
        <w:rPr>
          <w:b/>
        </w:rPr>
        <w:t xml:space="preserve">Quelle: </w:t>
      </w:r>
      <w:r>
        <w:t>https://mcp.opencaselaw.ch/entscheid/ge_gerichte_A_2966_2023</w:t>
      </w:r>
    </w:p>
    <w:p>
      <w:r>
        <w:t>FR: GE_GERICHTE A/2966/2023 du 30 octobre 2023</w:t>
      </w:r>
    </w:p>
    <w:p>
      <w:r>
        <w:t>IT: GE_GERICHTE A/2966/2023 del 30 ottobre 2023</w:t>
      </w:r>
    </w:p>
    <w:p>
      <w:pPr>
        <w:pStyle w:val="Heading2"/>
      </w:pPr>
      <w:r>
        <w:t>Erwägungen</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ACST/16/2023 du 25 avril 2023 consid. 2.1 et l'arrêt cité).![endif]&gt;![if&gt; En l’espèce, en tant que ressortissants suisses domiciliés dans la commune et y exerçant leurs droits politiques (art. 48 al. 2 Cst-GE et 3 LEDP), les recourants disposent de la qualité pour recourir.</w:t>
      </w:r>
    </w:p>
    <w:p>
      <w:r>
        <w:rPr>
          <w:b/>
        </w:rPr>
        <w:t>E. 3</w:t>
      </w:r>
    </w:p>
    <w:p>
      <w:r>
        <w:t>Le recours satisfait par ailleurs aux exigences de forme et de contenu posées par la loi (art. 64 et 65 de la loi sur la procédure administrative du 12 septembre 1985 - LPA - E 5 10).![endif]&gt;![if&gt;</w:t>
      </w:r>
    </w:p>
    <w:p>
      <w:r>
        <w:rPr>
          <w:b/>
        </w:rPr>
        <w:t>E. 4</w:t>
      </w:r>
    </w:p>
    <w:p>
      <w:r>
        <w:t>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 ACST/21/2023 précité consid. 2.1).![endif]&gt;![if&gt; En l’espèce, les recourants ont été absents de Genève du 1 er au 8 septembre 2023, date à laquelle ils y sont revenus dans la soirée et à partir de laquelle seulement ils avaient, matériellement, la possibilité de prendre connaissance de l’article litigieux. Selon les pièces qu’ils ont produites devant la chambre de céans, leur vol de retour a atterri à Genève le 8 septembre 2023 à 20h40. Compte tenu de l’heure tardive à laquelle ils ont, selon toute vraisemblance, rejoint leur domicile, revenant qui plus est d’un voyage, l’on ne saurait exiger d’eux qu’ils aient lu l’article litigieux le soir même de leur retour. Ainsi, en en prenant connaissance déjà le lendemain, soit le 9 septembre 2023, ils ont fait preuve de la diligence commandée par les circonstances. Leur recours ayant été remis à la poste le 15 septembre 2023, soit six jours plus tard, il a été interjeté en temps utile. Au vu de ce qui précède, le recours satisfait aux exigences de recevabilité, si bien qu’il convient d’entrer en matière sur le fond.</w:t>
      </w:r>
    </w:p>
    <w:p>
      <w:r>
        <w:rPr>
          <w:b/>
        </w:rPr>
        <w:t>E. 5</w:t>
      </w:r>
    </w:p>
    <w:p>
      <w:r>
        <w:t>Les recourants se plaignent d’une violation de la liberté de vote. ![endif]&gt;![if&gt;</w:t>
      </w:r>
    </w:p>
    <w:p>
      <w:r>
        <w:rPr>
          <w:b/>
        </w:rPr>
        <w:t>E. 5.1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citées).![endif]&gt;![if&gt;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 ACST/16/2023 précité consid. 5.1). 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ACST/5/2020 du 31 janvier 2020 consid. 3a et les références citées).</w:t>
      </w:r>
    </w:p>
    <w:p>
      <w:r>
        <w:rPr>
          <w:b/>
        </w:rPr>
        <w:t>E. 5.2</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3).![endif]&gt;![if&gt; 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En revanche, il faut reconnaître aux comités d’initiative le droit d’exposer leurs arguments, le cas échéant avec une certaine exagération, sans toutefois déboucher sur des allégations erronées et non objectives (ATF 147 I 297 consid. 3.1 = SJ 2021 I 265, 266 s ; 139 I 2 consid 6.2).</w:t>
      </w:r>
    </w:p>
    <w:p>
      <w:r>
        <w:rPr>
          <w:b/>
        </w:rPr>
        <w:t>E. 5.3</w:t>
      </w:r>
    </w:p>
    <w:p>
      <w:r>
        <w:t>L’autorité ne doit pas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du 6 septembre 2010 consid. 3.1 non publié de l’ATF 136 I 404 ). L’autorité peut répondre aux prises de position souvent unilatérales des groupes de pression influents de la société civile, pour tenter de rétablir une certaine objectivité du débat politique ( ACST/7/2018 du 5 avril 2018 consid. 10a et les références citées). Elle peut intervenir dans le débat public au‑delà de la remise d'un message explicatif sans devoir nécessairement arguer d'un motif pertinent si son intervention vise à contribuer d'une manière objective, transparente et proportionnée à la formation optimale de la volonté des électeurs (arrêt du Tribunal fédéral 1C_412/2007 du 18 juillet 2008 consid. 6.2). Le Tribunal fédéral admet ainsi qu'une autorité organise une conférence de presse et délivre un communiqué pour expliquer sa position (arrêt du Tribunal fédéral 1C_24/2018 du 12 février 2019). Elle peut également défendre sa position par le truchement de médias visuels, notamment de vidéos ou d'infographies, qui correspondent aujourd'hui aux habitudes des électeurs (ATF 145 I 1 consid. 5.2.2 ; Vincent MARTENET/Théophile VON BÜREN, in Vincent MARTENET/ Jacques DUBEY [éd.], Commentaire romand de la Constitution fédérale, 2021, ad art. 34 Cst. n. 90). ![endif]&gt;![if&gt; Dans les cas exceptionnels dans lesquels elles sont admissibles, les interventions des autorités pro domo doivent, à défaut de devoir être neutres, rester objectives, c'est-à-dire ne pas comporter d'information ou d'affirmation outrancière ou polémique quant à la forme ou erronée, exagérée ou trompeuse quant au fond. Elles doivent en outre demeurer proportionnées, notamment par la nature et l'ampleur des moyens utilisés, et être transparentes, c'est-à-dire ne pas être occultes ( ACST/39/2019 du 27 novembre 2019 consid. 10b et les références citées). Tout motif justificatif est exclu lorsque l'intention des autorités est clairement d'inciter les citoyens à accepter ou refuser un projet. En revanche, selon la jurisprudence du Tribunal fédéral, l'autorité est fondée à intervenir de façon plus importante dans le débat notamment pour redresser des informations erronées de la propagande de la partie adverse ou lorsqu'il s'avère nécessaire de rectifier des informations fausses ou trompeuses de nature à induire les citoyens en erreur (Bénédicte TORNAY, La démocratie directe saisie par le juge, 2008, p. 261 s et les références citées). Dans ce dernier cas, les autorités ont le droit mais aussi le devoir d'intervenir (ATF 116 Ia 466 consid. 6a ; Vincent MARTENET/Théophile VON BÜREN, L’information émanant des autorités et des particuliers en vue d’un scrutin, à l’aune de la liberté de vote, RDS 2013 I 57 , p. 61).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147 I 297 consid. 3.1 = SJ 2021 I 265, 267 s et les références citées ; 138 I 61 consid. 7.4 ; arrêt du Tribunal fédéral 1C_130/2015 du 20 janvier 2016 consid. 3.2). Lorsque des irrégularités sont constatées et que le recours est déposé avant ou peu après la votation, celle-ci n’est annulée que si la violation constatée est grave, qu'elle n'a pas été corrigée à temps, que, de ce fait, elle a pu, de façon pour le moins vraisemblable, exercer une influence décisive sur le résultat du scrutin et que cela ne soit pas incompatible avec les exigences de sécurité du droit et de proportionnalité devant être prises en compte en la matière (ATF 147 I 297 consid. 5.1 ; 145 I 207 consid. 4.1 ; arrêt du Tribunal fédéral 1C_321/2020 précité consid. 4.2 ; ACST/39/2019 précité consid. 11a et les références citées). De même, seule une violation grave justifie le report d'un scrutin (Yvo HANGARTNER et al., Die demokratischen Rechte in Bund und Kantonen der Schweizerischen Eidgenossenschaft, 2 e éd., 2023, n. 2617).</w:t>
      </w:r>
    </w:p>
    <w:p>
      <w:r>
        <w:rPr>
          <w:b/>
        </w:rPr>
        <w:t>E. 5.4</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 minorités. L'exécutif soumet son projet de commentaire au bureau du Conseil municipal, dont il recueille les observations (al. 5).![endif]&gt;![if&gt; Pour les votations communales, les explications comportent un commentaire des autorités d’une part et des auteurs du référendum ou de l’initiative d’autre part (art. 8A al. 1 du règlement d’application de la LEDP du 12 décembre 1994 - REDP - A 5 05.01). Aux termes de l'art. 8B REDP, le commentaire des autorités communales est rédigé par l’exécutif (al. 1). Il exprime de façon objective le point de vue du Conseil municipal, et indique le résultat du vote en mentionnant, le cas échéant, l’avis d’importantes minorités (al. 2). Il peut comporter des graphiques explicatifs et recourir à d’autres modes d’expression pour autant qu’ils n’induisent pas en erreur, restent discrets et ne remplacent pas le texte écrit (al. 3). L’art. 8C REDP prévoit que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 Selon l'art. 8D REDP,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w:t>
      </w:r>
    </w:p>
    <w:p>
      <w:r>
        <w:rPr>
          <w:b/>
        </w:rPr>
        <w:t>E. 5.5</w:t>
      </w:r>
    </w:p>
    <w:p>
      <w:r>
        <w:t>En l'espèce, le litige s'insère dans le cadre d'un référendum communal lancé à l'encontre d'une délibération du conseil municipal de la commune. Le scrutin concerne donc directement l'autorité intimée, laquelle, eu égard à la jurisprudence précitée (ATF 146 I 129 consid. 5.1 ; arrêt du Tribunal fédéral 1C_321/2020 précité consid. 4.1), assume dans ce cadre un rôle de conseil, qui se traduit en principe par la rédaction d’un message explicatif préalable au vote. ![endif]&gt;![if&gt; Le présent litige ne porte toutefois pas sur le commentaire officiel des autorités communales au sens des art. 8A et 8B REDP. Est en effet seule litigieuse la publication par l'autorité intimée, antérieurement à la publication de son commentaire officiel, de l'article « Votez OUI à la zone industrielle et artisanale des Rouettes et à l'arrivée de D______ ! » figurant dans l'édition de septembre 2023 du journal officiel communal, soit une intervention qui va au-delà de la remise d'un message explicatif. Pour déterminer si cette intervention était sur le principe admissible, il convient de résoudre la question de savoir si elle visait à contribuer d'une manière objective, transparente et proportionnée à la formation optimale de la volonté des électeurs ou si, subsidiairement, elle se justifiait par des motifs pertinents.</w:t>
      </w:r>
    </w:p>
    <w:p>
      <w:r>
        <w:rPr>
          <w:b/>
        </w:rPr>
        <w:t>E. 5.5.1</w:t>
      </w:r>
    </w:p>
    <w:p>
      <w:r>
        <w:t>L'autorité intimée justifie son intervention par la nécessité, d'une part, de répondre à l'article publié dans le journal « Le Petit Bernésien » par H______ et, d'autre part, de contrecarrer les propos tenus par les référendaires sur les réseaux sociaux.![endif]&gt;![if&gt; Elle fait d'abord valoir que H______ aurait communiqué des informations erronées sur les recettes fiscales escomptées en cas d'adoption du PDZIA. Le message véhiculé par l'association consisterait à faire croire que la mise en œuvre effective de la ZDIA ne présenterait pas d'intérêt pour les finances communales au motif que la taxe professionnelle communale disparaîtrait. Or, la suppression de cette taxe n'impliquerait pas une perte sèche pour les communes, dans la mesure où le législateur avait simultanément introduit un nouveau centime additionnel sur le bénéfice des personnes morales qui viendrait alimenter un fonds de compensation au profit des communes. Il serait donc erroné de soutenir que le volume escompté des recettes fiscales du fait de l'implantation d'entreprises dans le périmètre de la ZDIA des Rouettes disparaîtrait intégralement. L'article litigieux consacre un paragraphe aux recettes fiscales attendues par la commune en cas d'adoption du PDZIA. Il n'aborde toutefois pas la question de la taxe professionnelle et ne répond ainsi pas sur ce point à l'article de H______. Sur le fond, l'autorité intimée a concédé, dans sa réponse au recours, qu'il n'était pas encore possible de quantifier exactement l'incidence du remplacement de la taxe professionnelle par le nouveau régime. Elle a également estimé que les indications qu'elle avait données dans ses communications sur les retombées fiscales attendues de la ZDIA étaient « objectivement soutenables ». L'incidence du remplacement de la taxe professionnelle est donc, à ce stade, affaire d'appréciation et n'est pas vérifiable. Dans son article, l'autorité expose son point de vue mais ne corrige en réalité pas des affirmations provenant de l'association qu'elle aurait jugées erronées ou trompeuses. Pour sa part, l'association a également exprimé son avis dans son article, ce qui ne lui était pas interdit. Il s'ensuit que le passage relatif aux retombées fiscales figurant dans l'article de H______ ne justifiait pas une intervention des autorités communales.</w:t>
      </w:r>
    </w:p>
    <w:p>
      <w:r>
        <w:rPr>
          <w:b/>
        </w:rPr>
        <w:t>E. 5.5.2</w:t>
      </w:r>
    </w:p>
    <w:p>
      <w:r>
        <w:t>L'autorité intimée reproche ensuite à un membre du comité référendaire d'avoir diffusé, sur le groupe Messenger intitulé « G______ » des informations erronées liées à des questions d'aménagement, d'environnement et biodiversité et de mobilité. ![endif]&gt;![if&gt; Il convient au préalable de préciser que le groupe Messenger est composé de 77 membres et que tous les utilisateurs de Facebook peuvent voir ce qui y est publié. Ainsi, même si le message publié sur ce groupe, soit le projet de « commentaire du comité référendaire », ne revêt pas un caractère officiel, il est susceptible d'avoir atteint un nombre relativement important de personnes au sein de la commune, de sorte que sa portée ne doit pas être relativisée de façon trop importante, surtout dans le contexte d'une votation à l'échelon communale.</w:t>
      </w:r>
    </w:p>
    <w:p>
      <w:r>
        <w:rPr>
          <w:b/>
        </w:rPr>
        <w:t>E. 5.5.3</w:t>
      </w:r>
    </w:p>
    <w:p>
      <w:r>
        <w:t>Le message du comité référendaire fait référence à la réserve du Bois des Mouilles, en indiquant que celle-ci ne bénéficie pas de mesure de protection et comprend toute la biodiversité de la région. L'autorité intimée voit dans cette affirmation un risque que le lecteur soit induit en erreur, dans la mesure où il pourrait croire que la réserve se situerait dans le site faisant l'objet du projet de PDZIA. ![endif]&gt;![if&gt; Dans son article, la commune n'aborde pas la problématique du Bois des Mouilles, si bien que, pour cette raison déjà, l'objectif qu'elle espérait atteindre, soit la rectification d'informations prétendument erronées à ce sujet, ne saurait être atteint. Au demeurant, le projet de PDZIA est disponible sur Internet depuis le 7 novembre 2022 au moins, si bien que les habitants de la commune, que l'on peut supposer avoir une bonne connaissance du territoire communal, pouvaient vérifier sans difficultés les éventuels liens entre le projet de PDZIA et le Bois des Mouilles. Dès lors, l'intervention des autorités communales sur ce point n'était pas justifiée.</w:t>
      </w:r>
    </w:p>
    <w:p>
      <w:r>
        <w:rPr>
          <w:b/>
        </w:rPr>
        <w:t>E. 5.5.4</w:t>
      </w:r>
    </w:p>
    <w:p>
      <w:r>
        <w:t>Selon le projet de « commentaire du comité référendaire », « le plan de mobilité n'était pas officiellement autorisé ». Si l'on peut certes concéder que cette affirmation n'est pas tout à fait correcte d'un point de vue légal, qu'elle peut sembler ambiguë et pourrait orienter les électeurs, la commune n'aborde – à nouveau – pas spécifiquement cette problématique dans son article, y compris dans le passage consacré aux dispositions en termes de mobilité. On voit dès lors mal comment elle espérait montrer de façon suffisamment claire que le projet de « commentaire du comité référendaire », contenait, sur ce point, des informations s'écartant de la réalité juridique. Dès lors, son intervention ne repose ici sur aucun motif.![endif]&gt;![if&gt;</w:t>
      </w:r>
    </w:p>
    <w:p>
      <w:r>
        <w:rPr>
          <w:b/>
        </w:rPr>
        <w:t>E. 5.5.5</w:t>
      </w:r>
    </w:p>
    <w:p>
      <w:r>
        <w:t>L'autorité intimée reproche encore au comité référendaire d'avoir relayé l'information selon laquelle le PDZIA et le boulevard des Abarois provoqueraient la disparition de près de 150’000 m 2 de surfaces agricoles et naturelles comprenant leur sous-sol et celle selon laquelle le PDZIA ne semblerait pas respecter les objectifs de la Confédération et du Canton vis-à-vis de la ratification des accords de Paris sur le climat, ainsi que la mise en action du plan climat cantonal 2030, et encore moins la volonté exprimée par les habitants de Bernex lors de la votation sur la loi climat du 18 juin 2023.![endif]&gt;![if&gt; Ce reproche apparaît contradictoire et donc mal fondé, dès lors que les autorités communales ont validé ces affirmations, qui figurent ainsi dans le « commentaire officiel du comité référendaire » publié dans la brochure explicative du matériel de vote. Si elles ont certes subi de légères modifications – à la demande de la commune –, celles-ci ne changent ni leur sens ni leur portée. L'autorité intimée ne saurait dès lors être suivie lorsqu'elle soutient qu'il était nécessaire qu'une réponse y soit apportée.</w:t>
      </w:r>
    </w:p>
    <w:p>
      <w:r>
        <w:rPr>
          <w:b/>
        </w:rPr>
        <w:t>E. 5.5.6</w:t>
      </w:r>
    </w:p>
    <w:p>
      <w:r>
        <w:t>Finalement, comme l'a relevé cette fois-ci à juste titre l'autorité intimée, l'affirmation du comité référendaire selon laquelle « Genève disposait de 250'000 m 2 de zones commerciales disponibles » prête à confusion dans le contexte de la votation du 12 novembre 2023. En effet, la commune a précisé, tant dans l'article litigieux que dans ses écritures, qu'aucun commerce ni aucune activité tertiaire n'est prévue dans la zone concernée. Seules des activités du secteur secondaire y prendront place. Or, dans le sens généralement admis, la notion de « zones commerciales » évoquées par le comité référendaire fait plutôt référence à des activités du secteur tertiaire, non concernées en l'occurrence. Cette imprécision pouvait ainsi légitimer l'autorité intimée à apporter des corrections sur ce point.![endif]&gt;![if&gt; Malgré cela, et surtout au vu de tout ce qui précède, en particulier de l'absence, dans le message adressé sur le groupe Messenger ainsi que dans l'article du « Petit Bernésien », d'autres informations erronées pouvant compromettre de manière suffisamment concrète l'objectivité du débat public et induire les citoyens en erreur, la publication de l'article litigieux avant même la remise du message officiel explicatif aux électeurs n'apparaissait pas nécessaire, ce d'autant plus que l'autorité intimée avait publié, au mois de juin 2023, un premier article – dans le journal officiel de la commune – dans lequel elle avait déjà exprimé sa position et mis suffisamment en avant les avantages du projet. Une nouvelle publication n'était donc pas admissible. En outre, compte tenu de l'absence d'informations erronées pouvant induire les citoyens en erreur dans les textes des opposants au projet de PDZIA, sous réserve de l'exception précédemment évoquée, la publication de l'article litigieux n'était pas non plus justifiée par des motifs pertinents. À cela doit s'ajouter le fait que l'autorité intimée n'apporte, dans cet article, presqu'aucune réponse aux arguments qu'elle a considéré comme problématiques. Rien dans l'article, tel qu'il est formulé, ne permettait d'ailleurs aux électeurs de comprendre que son objectif – tel qu'annoncé par la commune à la chambre de céans – était de répondre au message publié par le comité référendaire ainsi qu'à l'article de H______. Au demeurant, toute justification de l'autorité intimée doit être écartée en raison du fait que son intention, vu le titre de l'article et le contenu du « mot du Maire », suffisamment explicites, était manifestement d'inciter les citoyens à accepter le projet de PDZIA. La chambre de céans constatera ainsi que la procédure de votation est entachée d'une irrégularité.</w:t>
      </w:r>
    </w:p>
    <w:p>
      <w:r>
        <w:rPr>
          <w:b/>
        </w:rPr>
        <w:t>E. 6</w:t>
      </w:r>
    </w:p>
    <w:p>
      <w:r>
        <w:t>Il reste à déterminer quelles conséquences doivent en découler, et notamment si cette irrégularité est suffisamment grave pour justifier l'annulation ou le report du scrutin. Cette question doit être résolue à l'aune du contenu de l'article litigieux, en particulier de l'analyse du respect, par autorité l'intimée, de son devoir d'information objective, étant précisé que l'absence de nécessité à la publication de l'article litigieux, telle que constatée précédemment, ne signifie pas nécessairement que l'autorité intimée aurait violé son devoir d'objectivité. Sur la forme, les recourants font grief à l'autorité intimée d'avoir employé des moyens graphiques qui attireraient l'œil pour inciter la population à voter « oui » au projet PDZIA. Ces moyens graphiques sont les mots qui apparaissent au début du titre de l'article, à savoir « Votez OUI », dont la police est légèrement plus grande que le reste du texte, le point d'exclamation à la fin du celui-ci ainsi que des encadrés en couleurs en fin d'article. À la lecture de celui-ci, il n'apparaît pas que ces moyens graphiques, dont le nombre est limité, seraient à ce point disproportionnés qu'ils auraient pour effet de conditionner, à eux seuls, le choix des votants. Utilisés avec parcimonie, ils ne sauraient être considérés comme susceptibles de fausser le vote et, par-là, inadmissibles. Sur le fond, les recourants remettent en cause l'ensemble de l'article et se plaignent en particulier de deux affirmations qu'ils considèrent comme erronées. La première concerne l'une des conséquences citées par l'autorité intimée en cas de refus du projet de PDZIA, à savoir le fait que la commune prendrait le risque de voir s'implanter dans la zone des entreprises moins respectueuses de critères exigeants en matière de durabilité. Les recourants estiment que cette affirmation n'est pas objective et manque de transparence. Ils doivent être suivis sur ce point. En effet, l'intimée semble faire un procès d'intention aux autres entreprises que D______ et n'a pas, dans sa réponse au recours, fourni d'explications permettant de justifier son affirmation. S'il serait excessif d'affirmer que celle-ci s'apparenterait à de la propagande, elle peut toutefois difficilement prendre place dans un processus ouvert de formation de l’opinion. La seconde affirmation concerne l'un des passages consacrés aux dispositions en termes de mobilité. Selon l'article litigieux, « à terme, le boulevard des Abarois directement connecté sur l’autoroute desservira la zone, mais aussi les quartiers, et permettra de pacifier la route de Chancy en captant une partie du trafic de transit ». Or, les recourants soutiennent que les études récentes réalisées par l'office cantonal des transports indiqueraient au contraire une augmentation du trafic dans tout Bernex et sur la route de Chancy. Les recourants ne produisent toutefois aucune pièce permettant de démontrer leur assertion, qui ne peut ainsi être vérifiée. Si une même conclusion s'impose certes également pour le passage de l'article litigieux concerné, celui-ci ne fait toutefois qu'énoncer les conséquences prévisibles de l'aménagement du boulevard des Abarois et n'est pas, tel qu'il est formulé, soit sans exagération manifeste, susceptible d'empêcher les électeurs de se faire leur propre opinion. Pour le surplus, l'article litigieux ne contient pas d'informations qui s'avéreraient erronées ou s'apparenteraient à de la propagande, les recourants ne développant au demeurant pas d'arguments susceptibles de retenir le contraire. Si la chambre de céans doit ainsi constater que rien ne justifiait la publication de l'article litigieux, ce dernier ne contient toutefois qu'une seule affirmation réellement problématique du point de vue de l'objectivité du débat. En outre, son contenu a été repris presque mot pour mot dans le « commentaire de la majorité des autorités communales » – figurant dans la brochure explicative du matériel de vote –, qui n'a pas fait l'objet de contestation. Ladite brochure, distribuée dans le délai légal, contient également le « commentaire du comité référendaire », qui présente les inconvénients du projet. Dans ces conditions, les habitants de la commune sont désormais en possession de deux textes présentant respectivement les avantages et les inconvénients du projet de PDZIA, si bien qu'ils peuvent se déterminer en temps utile et en toute connaissance de cause, sur la base de deux points de vue opposés, sur l'objet de la votation, ce qui diminue l'influence négative de l'article litigieux et rend par ailleurs superflu le report du scrutin. Au vu de ce qui précède, et même si la procédure de votation est entachée d'une irrégularité, celle-ci ne porte pas suffisamment à conséquence et n'est pas suffisamment grave pour justifier l'annulation de la votation. Dans un arrêt de 2020, le Tribunal fédéral a constaté une irrégularité dans une procédure conduisant à la décision d'aboutissement d'un référendum cantonal, sans toutefois en tirer de conséquences, l'irrégularité constatée n'étant pas considérée comme suffisamment grave pour conduire à l'annulation de la décision constatant l'aboutissement du référendum (ATF 146 I 129 consid. 6). Il a de la sorte rejeté le recours (arrêt du Tribunal fédéral 1C_673/2019 du 6 avril 2020 consid. 7 non publié aux ATF 146 I 129 ). Par conséquent, et dès lors également qu'il ne sera fait droit à aucune conclusion des recourants, le recours sera rejeté de la même manière. Il sera précisé à cet égard que la conclusion en constatation prise par les intéressés est subsidiaire à celle – formatrice – tendant à ce que la chambre de céans ordonne à l'autorité intimée de publier un article rectificatif informant la population bernésienne de ce que l'article litigieux a été jugé contraire aux opérations électorales, à laquelle la chambre de céans ne saurait faire droit, dans la mesure où la rectification demandée apparaît désormais vaine, l'article litigieux ayant été repris presque mot pour mot dans la brochure officielle de vote, qui n'a pas été contestée.</w:t>
      </w:r>
    </w:p>
    <w:p>
      <w:r>
        <w:rPr>
          <w:b/>
        </w:rPr>
        <w:t>E. 7</w:t>
      </w:r>
    </w:p>
    <w:p>
      <w:r>
        <w:t>Vu l’issue du litige, un émolument réduit de CHF 500.- sera mis à la charge solidaire des recourants (art. 87 al. 1 LPA), et aucune indemnité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