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A/295/2015 vom 29. September 2015</w:t>
      </w:r>
    </w:p>
    <w:p>
      <w:r>
        <w:t>GE Cour de justice, 2015-09-29, FR</w:t>
      </w:r>
    </w:p>
    <w:p>
      <w:r>
        <w:rPr>
          <w:b/>
        </w:rPr>
        <w:t xml:space="preserve">Quelle: </w:t>
      </w:r>
      <w:r>
        <w:t>https://mcp.opencaselaw.ch/entscheid/ge_gerichte_A_295_2015</w:t>
      </w:r>
    </w:p>
    <w:p>
      <w:r>
        <w:t>FR: GE_GERICHTE A/295/2015 du 29 septembre 2015</w:t>
      </w:r>
    </w:p>
    <w:p>
      <w:r>
        <w:t>IT: GE_GERICHTE A/295/2015 del 29 settembre 2015</w:t>
      </w:r>
    </w:p>
    <w:p>
      <w:pPr>
        <w:pStyle w:val="Heading2"/>
      </w:pPr>
      <w:r>
        <w:t>Erwägungen</w:t>
      </w:r>
    </w:p>
    <w:p>
      <w:r>
        <w:rPr>
          <w:b/>
        </w:rPr>
        <w:t>E. 2</w:t>
      </w:r>
    </w:p>
    <w:p>
      <w:r>
        <w:t>Le litige porte sur le droit du recourant à des prestations de la part de l’intimée au-delà du 31 août 2014 pour les suites de l’accident qu’il a subi le 24 octobre 2013.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ATF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Reste toutefois réservé le cas des lésions assimilées à un accident (art. 6 al. 2 LAA ; art. 9 al. 2 OLAA), qui le sont tant et aussi longtemps que leur origine maladive ou dégénérative n’est pas clairement établie, au-delà du degré de vraisemblance prépondérante (arrêts du Tribunal fédéral 8C_846/2014 du 23 avril 2015 consid. 3.2 ; 8C_578/2013 du 13 août 2014 consid. 2.2 ; 8C_381/2014 du 11 juin 2014 consid. 3.2).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4</w:t>
      </w:r>
    </w:p>
    <w:p>
      <w:r>
        <w:t>a. Le devoir qu’a l'assurance-accidents d'allouer des prestations lorsque le lien de causalité a été établi cesse lorsque l'accident ne constitue plus la cause naturelle et adéquate du dommage, question qu’il y a lieu d’examiner en principe selon le critère de la vraisemblance prépondérante, usuel en matière de preuve dans le domaine des assurances sociales, le cas des lésions assimilées à un accident restant réservé (cf. ci-dessus consid. 3b). Ainsi,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La simple possibilité que l'accident n'ait plus d'effet causal ne suffit pas à justifier la cessation du versement des prestations (ATF 126 V 360 consid. 5b ; 125 V 195 consid. 2 ; RAMA 2000 n. U 363 p. 46). b.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7</w:t>
      </w:r>
    </w:p>
    <w:p>
      <w:r>
        <w:t>En l’espèce, l’intimé a admis, dès novembre 2013, que le recourant avait été victime, le 24 octobre 2013, d’un accident professionnel, dont il a accepté la prise en charge. Par sa décision du 14 août 2014, fondée sur l’avis de son médecin d’arrondissement, il a mis un terme au 31 août 2014 à ses prestations pour les suites de l’accident considéré, estimant que les troubles dont le recourant souffrait encore, consistant en une spondylo-discarthrose, n’étaient plus dus à cet accident, mais étaient exclusivement de nature maladive. À la suite de l’opposition formée par le recourant à cette décision, l’intimé a soumis le dossier à son spécialiste en neurologie. Ce dernier a estimé, le 3 décembre 2014, qu’un diagnostic de contusion médullaire consécutif à l’événement du 24 octobre 2014 ne pouvait être qualifié que de possible ; l’absence de déficits neurologiques documentés ayant un lien chronologique immédiat avec ledit événement parlait en défaveur de cette suspicion diagnostique ; la lésion médullaire au niveau des vertèbres C5-C6 avait pu se développer ultérieurement et progressivement, dans le contexte d’un canal rachidien étroit de nature constitutionnelle et de modifications dégénératives affectant la partie inférieure du rachis cervical ; il n’avait pas été fait mention d’une blessure de la région de la tête en rapport avec l’événement précité ; il n’y avait pas d’éléments susceptibles de modifier l’appréciation médicale du médecin d’arrondissement de l’intimé, fixant un statu quo sine au 31 août 2014. Par décision du 18 décembre 2014, l’intimé a rejeté l’opposition du recourant, en déclarant renoncer à examiner si les conditions d’une reformatio in pejus , tenant à une négation de tout événement accidentel à la charge de l’intimé, étaient remplies. Il n’y a pas matière, pour la chambre de céans, à remettre en question ce que l’intimé a admis, y compris dans sa décision du 14 août 2014 confirmée par la décision attaquée en tant que celle-ci rejette l’opposition formée à son encontre, à savoir que le recourant a subi, le 24 octobre 2013, un accident professionnel, dont les suites sont à la charge de l’intimé. Le litige porte sur la mise d’un terme, à la date du 31 août 2014, aux prestations de l’intimé pour ledit événement accidentel.</w:t>
      </w:r>
    </w:p>
    <w:p>
      <w:r>
        <w:rPr>
          <w:b/>
        </w:rPr>
        <w:t>E. 8</w:t>
      </w:r>
    </w:p>
    <w:p>
      <w:r>
        <w:t>a. Il n’est pas contesté que les diagnostics différentiels d’épendymome, de myélite et de maladie démyélinisante évoqués initialement, sur la base de l’IRM du 7 janvier 2014, ont été écartés à juste titre, ni – ainsi que l’intimé le relève dans la décision attaquée – que le recourant ne souffrait pas d’une myélopathie avant l’événement accidentel du 24 octobre 2013. C’est bien principalement d’une myélopathie cervicale postérieure à ce dernier dont il est question, mais alors que celle-ci serait, pour le médecin de l’intimé, une myélopathie cervicale chronique apparue quelque six semaines après ledit événement accidentel, et qui se serait développée progressivement après ce dernier à cause du canal rachidien constitutionnellement étroit et d’altérations dégénératives, il s’agirait, notamment pour les médecins des services de radiologie et de neurologie des HUG, d’une contusion médullaire consécutive à l’accident précité, soit d’une myélopathie post-traumatique. b. En l’espèce, l’intimé invoque l’inapplicabilité du raisonnement « post hoc ergo propter hoc ». Il est exact qu’il ne suffit pas qu’une altération de la santé se soit produite chronologiquement après un événement accidentel pour en conclure qu’elle en est forcément la conséquence naturelle. Un lien chronologique représente néanmoins un indice de rapport de causalité. L’intimé se prévaut d’ailleurs, à la suite de son médecin, de l’absence de lien chronologique immédiat entre l’événement accidentel considéré et les déficits neurologiques du recourant. c. Dans son rapport du 3 décembre 2014, le Dr R______ a certes passé en revue l’ensemble des pièces du dossier, en particulier les rapports médicaux, et il a consulté les IRM ayant été réalisées respectivement les 7 janvier, 14 janvier et 2 avril 2014. Il s’avère cependant qu’il conclut son rapport en opposant deux diagnostics qu’il qualifie l’un et l’autre de possible, la myélopathie cervicale chronique et la myélopathie post traumatique, en marquant sa faveur pour la première citée en considération de l’absence d’une part d’un lien chronologique immédiat entre l’événement accidentel considéré et les déficits neurologiques du recourant et d’autre part d’une mention de blessure à la tête ou de traumatisme cervical. Or, si, à la différence d’une vraisemblance prépondérante, la simple possibilité d’un rapport de cause à effet entre un accident et un dommage ne suffit pas à fonder le droit à des prestations de l’assurance-accidents, la simple possibilité qu’un accident n’ait plus d’effet causal ne suffit pas à justifier qu’il soit mis un terme à ce droit. d. Sous réserve, sans doute, du médecin d’arrondissement de l’intimé, l’avis du neurologue de ce dernier n’apparaît partagé guère que par le radiologue F______, à la suite de la première IRM réalisée, en tant que ce dernier relève, dans son rapport du 7 janvier 2014, que l’hypothèse d’une myélopathie post traumatique sur un canal cervical étroit était peu probable. Son analyse doit cependant être replacée dans son contexte, à savoir au stade initial de la pose de diagnostics différentiels. Le recourant a ensuite été hospitalisé aux HUG, en neurologie, les 13 et 14 janvier 2014, pour suite de prise en charge. De nouvelles IRM ont été réalisées à cette occasion, et comparées à celle du 7 janvier 2014. L’anamnèse a révélé l’accident du 24 octobre 2013. Le diagnostic alors retenu a été celui de contusion intramédullaire sur canal cervical étroit. Des examens complémentaires devaient être effectués ultérieurement pour confirmer et affiner le diagnostic, seule l’évolution du temps étant à même de permettre de le faire. À la suite d’une nouvelle IRM, pratiquée le 2 avril 2014, les radiologues des HUG, constatant une régression de la lésion en C5-C6 et une diminution de l’absorption du produit de contraste, ont estimé que l’origine traumatique de la lésion médullaire C5-C6 était désormais confirmée. Après une consultation du recourant en neurologie des HUG, le 30 avril 2014, et référence étant faite aussi à une ENMG du 6 mars 2014 ayant établi une atteinte à la conduction cortico-spinale, les neurologues ont notamment relevé que l’évolution favorable, constatée radiologiquement, confirmait l’origine traumatique des troubles résiduels et évolutifs du recourant. Après que l’intimé avait rendu sa décision du 14 août 2014, mettant un terme à ses prestations au 31 août 2014, la D resse Q______ a affirmé que le recourant présentait encore une symptomatologie liée à son accident du 24 octobre 2013, en relevant la cohérence du tableau clinique avec les résultats des IRM et de l’ENMG. Dans un rapport du 24 septembre 2014, le Dr M______, neurologue aux HUG (ayant suivi le recourant comme chef de clinique depuis son hospitalisation en neurologie en janvier 2014), a affirmé d’une part que le recourant, dont l’évolution globale était favorable, présentait encore des troubles neurologiques, et d’autre part que s’il avait des lésions dégénératives restées asymptomatiques jusqu’à l’événement accidentel du 24 octobre 2013, il était quasiment impossible qu’il ait eu une myélopathie cervicale déjà avant ce dernier. Il a ajouté qu’il était clair que sa lésion intramédullaire constituait une séquelle du traumatisme précité, et non une séquelle de dégénérescence discale mono ou multi-étagée. Le 18 février 2015, le rhumatologue S______ ne s’est pas contenté de répéter que le recourant souffrait d’une myélopathie cervicale post-traumatique ; il a indiqué que les rapports d’examen, dont il avait eu connaissance, avaient très bien documenté ce diagnostic. e. Lors de son audition par la chambre de céans, le 14 septembre 2015, le Dr M______ a déclaré – contrairement à ce qu’indiquait le neurologue de l’intimé – qu’il n’y avait rien d’extraordinaire à ce que les troubles neurologiques du recourant se fussent manifestés dans un second temps, quelque six semaines après l’événement accidentel du 24 octobre 2013, et que ce laps de temps n’autorisait en aucune façon à nier un rapport de causalité entre cet accident et lesdits troubles. Il a expliqué de façon claire et convaincante les motifs convergents pour lesquels il fallait, à un très haut degré de vraisemblance, qualifier la myélopathie du recourant de post-traumatique, et non de dégénérative. Aux symptômes ressentis par le recourant dans les semaines ayant suivi ce dernier, s’ajoutaient le fait qu’il avait été jusque là asymptomatique, l’importance de son œdème, la diminution de cet œdème dans les mois ayant suivi l’apparition des troubles neurologiques et le fait que le recourant n’avait alors que 34 ans. Sans doute celui-ci présentait-il des signes de dégénérescence antérieure au niveau des vertèbres C5-C6, découverts par les IRM de janvier 2014, mais ces lésions étaient courantes chez des personnes dès l’âge de 20-25 ans et elles restaient durablement stables et asymptomatiques pour des personnes jeunes. De plus, une myélopathie dégénérative se manifestait en règle générale chez des personnes de plus de 50 ans, et elle ne diminuait pas en l’absence d’un traitement spécifique, que le recourant n’avait pas subi. Le Dr M______ a en outre affirmé qu’en septembre 2014, lors de sa dernière consultation du recourant, celui-ci était encore symptomatique, et il a émis l’hypothèse qu’encore actuellement une imagerie radiologique pourrait révéler quelques signes résiduels de sa myélopathie. Enfin, il a déclaré qu’il ne pouvait être déterminé de date d’un statu quo ante ou d’un statu quo sine que sur la base, conjointement, des symptômes ressentis par l’assuré et des résultats d’une IRM plus récente que celle du 2 avril 2014, sinon d’une nouvelle ENMG. f. Il sied encore de relever que le Dr R______ s’est prononcé sur la base d’un dossier, sans avoir vu ou ausculté lui-même le recourant, à l’inverse non seulement du médecin traitant du recourant (la D resse F______) mais aussi des autres médecins ayant émis des rapports et avis à propos de son cas, en particulier ceux des services de radiologie et de neurologie des HUG. Si cela n’est pas en soi un obstacle à reconnaître une force probante à un avis médical, le fait, pour des médecins, d’avoir vu et ausculté personnellement un patient représente un avantage, qui vient en renfort de la force probante de leur avis. g. L’absence de blessure à la tête ne représente pas la démonstration qu’en tombant sur son épaule gauche, le 24 octobre 2013, le recourant n’a pas été victime d’un traumatisme s’étant répercuté sur sa colonne cervicale. La tête et la colonne cervicale du recourant ont nécessairement suivi ce dernier tant dans sa chute que dans l’arrêt brusque de son corps au contact du sol, même avec une accentuation de ces mouvements.</w:t>
      </w:r>
    </w:p>
    <w:p>
      <w:r>
        <w:rPr>
          <w:b/>
        </w:rPr>
        <w:t>E. 9</w:t>
      </w:r>
    </w:p>
    <w:p>
      <w:r>
        <w:t>a. Au vu de la convergence des avis médicaux retenant, à l’inverse de l’intimé, une myélopathie post-traumatique liée à l’événement accidentel du 24 octobre 2014, et de la pertinence des explications fournies à l’appui de ce diagnostic, telles qu’explicitées par le Dr M______ lors de son audition, la chambre de céans retient que ledit diagnostic repose sur des avis médicaux dotés d’une force probante supérieure à celle du rapport du neurologue interne à l’intimé. Le raisonnement de ce dernier s’appuie sur des prémisses non pertinentes, contredites catégoriquement par le neurologue qui est le médecin référent des HUG pour le recourant mais pas le médecin traitant de ce dernier, s’agissant notamment du temps s’étant écoulé entre l’accident considéré et l’apparition, après la phase des premières douleurs s’étant ensuite estompées, de séquelles de suite importantes. Non seulement c’est à juste titre que l’intimé a accepté la prise en charge des suites dudit événement accidentel du 24 octobre 2013, mais encore il n’est pas établi à un degré de vraisemblance prépondérante qu’un statu quo sine serait intervenu à fin août 2014. b. Cela ne signifie pas qu’un statu quo sine ne serait pas intervenu par la suite, au-delà du 31 août 2014. Il n’y a pas dans le dossier d’élément permettant de l’affirmer ou de le nier. Ainsi que l’a déclaré le Dr M______, pour déterminer si et le cas échéant à partir de quand il n’y aurait plus de rapport de causalité entre l’événement accidentel du 24 octobre 2013 et les troubles que ressent le recourant, il est impératif que de nouveaux examens médicaux soient effectués, en particulier une (ou des) IRM, voire une ENMG, en plus d’une auscultation du recourant aux fins de recueillir et dans la mesure du possible objectiver ses symptômes.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l'assureur social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un point médical (ATF 137 V 210 consid. 4.4.1.4). En l’espèce, l’instruction doit être complétée, sur des faits susceptibles de s’être produits postérieurement à la décision attaquée, qui établiraient possiblement une date de statu quo sine . Il n’est par ailleurs pas certain qu’elle doive l’être par le biais d’une expertise ; il apparaît concevable que les services de radiologie et de neurologie des HUG procèdent aux examens nécessaires et que l’intimé se détermine ensuite sur leurs résultats et, s’il l’entend alors, ordonne une expertise administrative. Il est aussi loisible à l’intimé de préférer ordonner d’emblée une telle expertise, sans préjudice du droit du recourant, par le biais de son médecin traitant, de requérir des services précités des HUG qu’ils effectuent eux aussi les examens considérés. c. Dans ces conditions, la chambre de céans annulera la décision sur opposition attaquée du 18 décembre 2014 (ce qui implique celle du 14 août 2014), et renverra la cause à l’intimé pour instruction complémentaire sur la question de la survenance et le cas échéant de la date d’un éventuel statu quo sine .</w:t>
      </w:r>
    </w:p>
    <w:p>
      <w:r>
        <w:rPr>
          <w:b/>
        </w:rPr>
        <w:t>E. 10</w:t>
      </w:r>
    </w:p>
    <w:p>
      <w:r>
        <w:t>La procédure est gratuite (art. 61 let. a LPGA). Représenté par un mandataire et obtenant gain de cause, le recourant a droit à une indemnité, qui sera fixée à CHF 900.-, à titre de participation à ses frais et dépens (art. 61 let. g LPGA ; art. 89H LPA ; art. 6 du règlement sur les frais, émoluments et indemnités en procédure administrative, du 30 juillet 1986 [RFPA – E 5 10.03]).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