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A/2958/2022 vom 29. März 2023</w:t>
      </w:r>
    </w:p>
    <w:p>
      <w:r>
        <w:t>GE Cour de justice, 2023-03-29, FR</w:t>
      </w:r>
    </w:p>
    <w:p>
      <w:r>
        <w:rPr>
          <w:b/>
        </w:rPr>
        <w:t xml:space="preserve">Quelle: </w:t>
      </w:r>
      <w:r>
        <w:t>https://mcp.opencaselaw.ch/entscheid/ge_gerichte_A_2958_2022</w:t>
      </w:r>
    </w:p>
    <w:p>
      <w:r>
        <w:t>FR: GE_GERICHTE A/2958/2022 du 29 mars 2023</w:t>
      </w:r>
    </w:p>
    <w:p>
      <w:r>
        <w:t>IT: GE_GERICHTE A/2958/2022 del 29 marzo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en temps utile, le recours est recevable (art. 60 LPGA).![endif]&gt;![if&gt;</w:t>
      </w:r>
    </w:p>
    <w:p>
      <w:r>
        <w:rPr>
          <w:b/>
        </w:rPr>
        <w:t>E. 3</w:t>
      </w:r>
    </w:p>
    <w:p>
      <w:r>
        <w:t>Le litige porte sur le bien-fondé de la décision de l’intimée de poser des questions complémentaires au Dr E______.![endif]&gt;![if&gt;</w:t>
      </w:r>
    </w:p>
    <w:p>
      <w:r>
        <w:rPr>
          <w:b/>
        </w:rPr>
        <w:t>E. 4</w:t>
      </w:r>
    </w:p>
    <w:p>
      <w:r>
        <w:t>![endif]&gt;![if&gt;</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4.2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4.3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4.4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5</w:t>
      </w:r>
    </w:p>
    <w:p>
      <w:r>
        <w:t>En l’espèce, la CJCAS a estimé dans son arrêt du 29 janvier 2020 que si l’expertise pluridisciplinaire répondait de manière générale aux réquisits pour se voir reconnaître une force probante, certains points devaient être éclaircis, ce que l’intimée devait tenter de faire par le biais d’un complément d’expertise pour, autant que cela soit possible, rendre sa décision sans procéder à une nouvelle expertise pluridisciplinaire.![endif]&gt;![if&gt; Dans son arrêt du 10 février 2021, la chambre de céans a jugé que les questions 7 et 8 de la demande de complément d’expertise étaient conformes au devoir d’instruction de l’intimée et au contenu de son arrêt du 12 mai 2020. En l’occurrence, le Dr D______ a refusé de donner suite au complément d’expertise, au motif qu’il n’exerçait plus. Il a néanmoins fait des remarques au sujet du cas de la recourante dans son courriel du 19 février 2022, sans examen de celle-ci et en se référant à son état psychique, qui n’est pas de son ressort. Son courriel ne répond pas aux réquisits permettant de lui reconnaitre une force probante. L’intimée a donné correctement suite à la recommandation de la CJCAS de tenter d’éviter une nouvelle expertise pluridisciplinaire, en décidant de confier le complément d’expertise au Dr E______. Contrairement à qu’a fait valoir la recourante, l’arrêt du 29 janvier 2020 n’excluait pas une nouvelle expertise, si celle-ci était nécessaire (consid. 11). En l’occurrence, si le Dr E______ ne pouvait pas donner suite au complément d’expertise pour une raison quelconque, ou si ses réponses ne s’avéraient pas probantes, un autre expert pourrait être appelé à se prononcer.</w:t>
      </w:r>
    </w:p>
    <w:p>
      <w:r>
        <w:rPr>
          <w:b/>
        </w:rPr>
        <w:t>E. 6</w:t>
      </w:r>
    </w:p>
    <w:p>
      <w:r>
        <w:t>Infondé, le recours sera rejeté.![endif]&gt;![if&gt;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