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A/2956/2016 vom 25. Oktober 2016</w:t>
      </w:r>
    </w:p>
    <w:p>
      <w:r>
        <w:t>GE Cour de justice, 2016-10-25, FR</w:t>
      </w:r>
    </w:p>
    <w:p>
      <w:r>
        <w:rPr>
          <w:b/>
        </w:rPr>
        <w:t xml:space="preserve">Quelle: </w:t>
      </w:r>
      <w:r>
        <w:t>https://mcp.opencaselaw.ch/entscheid/ge_gerichte_A_2956_2016</w:t>
      </w:r>
    </w:p>
    <w:p>
      <w:r>
        <w:t>FR: GE_GERICHTE A/2956/2016 du 25 octobre 2016</w:t>
      </w:r>
    </w:p>
    <w:p>
      <w:r>
        <w:t>IT: GE_GERICHTE A/2956/2016 del 25 ottobre 2016</w:t>
      </w:r>
    </w:p>
    <w:p>
      <w:pPr>
        <w:pStyle w:val="Heading2"/>
      </w:pPr>
      <w:r>
        <w:t>Erwägungen</w:t>
      </w:r>
    </w:p>
    <w:p>
      <w:r>
        <w:rPr>
          <w:b/>
        </w:rPr>
        <w:t>E. 1</w:t>
      </w:r>
    </w:p>
    <w:p>
      <w:r>
        <w:t>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w:t>
      </w:r>
    </w:p>
    <w:p>
      <w:r>
        <w:rPr>
          <w:b/>
        </w:rPr>
        <w:t>E. 2</w:t>
      </w:r>
    </w:p>
    <w:p>
      <w:r>
        <w:t>Les membres du Conseil d’Etat ou d’un exécutif communal n’ont pas à se récuser dans les affaires non contentieuses concernant des personnes morales, organes ou autorités à l’administration desquels ils appartiennent en qualité officielle.</w:t>
      </w:r>
    </w:p>
    <w:p>
      <w:r>
        <w:rPr>
          <w:b/>
        </w:rPr>
        <w:t>E. 3</w:t>
      </w:r>
    </w:p>
    <w:p>
      <w:r>
        <w:t>La demande de récusation doit être présentée sans délai à l’autorité.</w:t>
      </w:r>
    </w:p>
    <w:p>
      <w:r>
        <w:rPr>
          <w:b/>
        </w:rPr>
        <w:t>E. 4</w:t>
      </w:r>
    </w:p>
    <w:p>
      <w:r>
        <w:t>La décision sur la récusation d’un membre d’une autorité collégiale est prise par cette autorité, en l’absence de ce membre » ; Selon la jurisprudence relative aux art. 29 al. 1 er Cst., 30 al. 1 er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Selon la jurisprudence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consid. 2.3.1 du 3 février 2006 et I 29/04 du 17 août 2004 consid. 2.2 et les références). Le simple fait que le médecin consulté est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I 752/03 du 27 août 2004).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Dans un arrêt de principe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PA,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 138 V 271 consid. 1.1).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À noter que la recherche d'un consensus est uniquement nécessaire lorsque l’assuré fait valoir des objections admissibles de nature formelle (récusation des experts) ou matérielle (domaines médicaux à examiner) (arrêt du Tribunal fédéral 9C_560/2013 du 6 septembre 2013 consid. 2.3 et les références). En outre, lorsqu’aucun accord n’est trouvé, l’office AI doit rendre une décision unique portant à la fois sur le moyen de preuve en lui-même (nécessité d’une expertise, limitation à une ou deux discipline, description des disciplines) et sur la personne de l’expert (arrêt du Tribunal fédéral 9C_207/2012 consid. 5.2.2.3). 8.        a) Il est vrai qu’aucun des motifs énumérés à l’art. 15 al. 1 lit. a à c LPA n’est réalisé en l’espèce. L’assurée s’oppose toutefois au choix de l’expert, en faisant valoir que le Dr F______ ne présenterait pas l’impartialité que l’on serait en droit d’attendre de lui. Elle met en doute la qualité de ses expertises. Elle invoque en effet le fait que la qualité de valeur probante de celles-ci a souvent été niée par la chambre de céans et considère qu’il s’agit-là d’un indice de partialité chez ce médecin. Ce motif de récusation est d’ordre matériel. Le Tribunal fédéral a à cet égard expressément admis que des motifs, tels que la compétence professionnelle de l’expert, pouvaient être avancés (ATF 137 V 210 ). Force est toutefois de constater que même s’il s’avérait que la chambre de céans a plusieurs fois douté de la valeur probante des expertises réalisées par le Dr F______, cela ne permettrait quoi qu’il en soit pas d’en tirer la conclusion que le Dr F______ ferait nécessairement preuve, dans le cas d’espèce, de partialité. Il s’agit là d’un reproche d’ordre général, de sorte qu’aucune apparence de prévention dans le cas concret n’est établie ni même alléguée (art. 15 al. 1 let. d LPA). De même en est-il de la déclaration du Dr F______ selon laquelle les avis des médecins traitants ne sont pas probants, car ils n’auraient pas une vision assécurologique.![endif]&gt;![if&gt; b) Cela étant, il importe de relever que l’OAI n’a à aucun moment essayé de parvenir à un accord avec l’assurée sur le choix de l’expert, lorsque celle-ci s'est opposée à la désignation du médecin précité, tel que cela est aujourd’hui préconisé par le Tribunal fédéral. Il n’a jamais non plus justifié pourquoi il persistait à vouloir mandater le Dr F______ et refusait de faire d'autres propositions d’experts. Au vu de la jurisprudence du Tribunal fédéral, cette façon de faire viole les droits de participation de l’assurée dans la procédure de désignation de l’expert, lorsque l'assuré déclare son désaccord avec la personne pressentie à ce titre par l'assureur. c) Certes la recherche d'un consensus est-elle uniquement nécessaire lorsque l’assuré fait valoir des objections admissibles de nature formelle ou matérielle (arrêt du Tribunal fédéral 9C_560/2013 du 6 septembre 2013 op.cit). L’OAI en conclut que si les motifs de récusation ne sont pas reconnus, alors un consensus est inutile. Il convient toutefois de préciser à cet égard ce qu’il faut entendre par « objections admissibles ». La définition du mot « admissible » est la suivante : « qui peut être considéré comme valable, possible ou supportable ; qui est admis à se présenter aux épreuves orales d’un examen » (www.larousse.fr). C’est ainsi que le Tribunal fédéral utilise plus particulièrement ce terme lorsqu’il s’agit pour lui d’examiner son pouvoir d’examen. Il déclare ainsi par exemple que « seules sont admissibles dans ce cas les preuves que l'instance inférieure aurait dû réunir d'office, et dont le défaut d'administration constitue une violation de règles essentielles de procédure » (ATF 121 II 99 consid. 1c, 120 V 485 consid. 1b). À ce stade, il va de soi que le moyen de preuve apporté, déclaré admissible, doit encore être examiné (cf. notamment arrêt du Tribunal fédéral 9C_277/2011 ), tout comme la personne qui est reconnue avoir satisfait à une première série d’épreuves dans un examen – qui est donc « admissible » - est autorisée à subir les épreuves suivantes. En l’espèce, le motif d’ordre matériel invoqué par l’assurée est admissible – le Tribunal fédéral a considéré qu’il pouvait avancé (ATF 137 V 210 ) -, mais n’est pas admis par la chambre de céans. Rien ne s’oppose dans ces conditions à ce qu’un consensus soit recherché, étant rappelé qu’une expertise qui repose sur un accord mutuel donne des résultats plus concluants et mieux acceptés par l’assuré (ATF 137 V 210 consid. 3.4.2.6). C’est du reste la solution qu’avait également retenue la chambre de céans dans un arrêt du 28 février 2013 ( ATAS/226/2013 ). d) Partant, la cause doit être renvoyée à l’OAI, afin qu’il se prononce sur les personnes proposées à titre d’expert par l’assurée ou, si celles-ci ne lui conviennent pas, donne le nom d’un ou de plusieurs autres médecins susceptibles d’assumer le mandat d’expertise. 9.        S’agissant de l’aspect neurologique, l’assurée considère que le Dr E______ devrait être chargé de se déterminer par un rapport complémentaire et non pas par une nouvelle expertise. Elle s’oppose ainsi à ce que le Dr E______ soit mandaté pour un examen neuropsychologique et un bilan ergothérapeutique, considérant que cet examen s’apparenterait à une « second opinion ». Elle rappelle à cet égard que dans son courrier du 20 janvier 2016, elle avait listé les questions qu’elle souhaitait voir poser à l’expert neurologue. Le SMR avait alors déclaré n’avoir aucun commentaire à faire sur ces questions (cf. note du 29 janvier 2016).![endif]&gt;![if&gt; 10.    Selon la jurisprudence (arrêt du Tribunal fédéral U 571/06 du 29 mai 2007 consid. 4.2, in RSAS 2008 p. 181), le devoir de prendre d'office les mesures d'instruction nécessaires à l'appréciation du cas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du Tribunal fédéral 9C_1012/2008 consid. 3.2.2).![endif]&gt;![if&gt; 11.    Il y a en l’espèce lieu de rappeler que, dans son arrêt du 18 août 2015, la chambre de céans a renvoyé la cause à l’OAI pour qu’il sollicite un rapport complémentaire du Dr E______. Il n’appartient dès lors pas à l’OAI de mandater ce médecin pour une nouvelle expertise, mais bien de lui demander de compléter son rapport du 19 octobre 2010, rapport considéré au demeurant comme ayant valeur probante par la chambre de céans. Celle-ci avait considéré qu’un doute existait quant à la capacité de travail de l’assurée sur le plan somatique avant l’examen de l’expert d’octobre 2010 et sur le plan psychiatrique durant toute la période litigieuse au vu des pièces versées à la procédure ( ATAS/595/2015 ). Il se justifie dès lors de limiter la mission du Dr E______ et de ne pas lui demander de répondre aux questions sur lesquelles il s’est déjà déterminé dans son rapport du 19 octobre 2010. À cet égard, celles posées par l’assurée dans son courrier du 20 janvier 2016, et auxquelles le SMR ne s’est du reste pas opposé dans sa note du 29 janvier 2016, suffisent. Sur ce point dès lors, le recours est admis.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