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A/2952/2024 vom 19. Juni 2019</w:t>
      </w:r>
    </w:p>
    <w:p>
      <w:r>
        <w:t>GE Cour de justice, 2019-06-19, FR</w:t>
      </w:r>
    </w:p>
    <w:p>
      <w:r>
        <w:rPr>
          <w:b/>
        </w:rPr>
        <w:t xml:space="preserve">Quelle: </w:t>
      </w:r>
      <w:r>
        <w:t>https://mcp.opencaselaw.ch/entscheid/ge_gerichte_A_2952_2024</w:t>
      </w:r>
    </w:p>
    <w:p>
      <w:r>
        <w:t>FR: GE_GERICHTE A/2952/2024 du 19 juin 2019</w:t>
      </w:r>
    </w:p>
    <w:p>
      <w:r>
        <w:t>IT: GE_GERICHTE A/2952/2024 del 19 giugno 2019</w:t>
      </w:r>
    </w:p>
    <w:p>
      <w:pPr>
        <w:pStyle w:val="Heading2"/>
      </w:pPr>
      <w:r>
        <w:t>Regeste</w:t>
      </w:r>
    </w:p>
    <w:p>
      <w:r>
        <w:t>RECONSIDÉRATION | LPA.48.al1</w:t>
      </w:r>
    </w:p>
    <w:p>
      <w:pPr>
        <w:pStyle w:val="Heading2"/>
      </w:pPr>
      <w:r>
        <w:t>Erwägungen</w:t>
      </w:r>
    </w:p>
    <w:p>
      <w:r>
        <w:rPr>
          <w:b/>
        </w:rPr>
        <w:t>E. 13</w:t>
      </w:r>
    </w:p>
    <w:p>
      <w:r>
        <w:t>août 2019 consid. 5b). Si l'écoulement du temps et la poursuite d'une intégration socio-professionnelle constituent des modifications des circonstances, ces éléments ne peuvent pas toutefois être qualifiés de notables au sens de l'art. 48 al. 1 let. b LPA lorsqu'ils résultent uniquement du fait que l'étranger ne s'est pas conformé à une décision initiale malgré son entrée en force ( ATA/539/2020 du 29 mai 2020 consid. 4b ; ATA/1818/2019 du 17 décembre 2019 consid. 2b). Le fait d'invoquer des faits nouveaux résultant pour l'essentiel de l'écoulement du temps, que le recourant a largement favorisé, peut d'ailleurs être reconnu comme un procédé dilatoire (cf. arrêt du Tribunal fédéral 2A.271/2004 du 7 octobre 2004). 17.         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 ATA/573/2013 du 28 août 2013 consid. 4). De plus, la charge de la preuve relative à l'existence d'une situation de réexamen obligatoire d'une décision en force incombe à celui qui en fait la demande. Cela implique qu'il produise d'emblée devant l'autorité qu'il saisit les moyens de preuve destinés à établir les faits qu'il allègue ( ATA/291/2017 du 14 mars 2017 consid. 4). 18.         Dans son arrêt du 25 août 2023 ( 6B_244/2023 consid. 6.8), le Tribunal fédéral a relevé que diverses autorités ont été en mesure de constater que le système de santé au Kosovo est en voie de progression (arrêt du Tribunal administratif fédéral F-3527/2019 du 30 avril 2021 consid. 7.2.4). Même si l'introduction d'une couverture universelle n'est pas achevée (Commission européenne, Commission Staff working document, Kosovo 2022 report, 12 octobre 2022, p. 91), s'il fait face à des difficultés pour retenir son personnel attiré par la possibilité de travailler à l'étranger et si des résidents peuvent être amenés à effectuer des examens de routine dans des pays limitrophes (arrêt du Tribunal administratif fédéral précité F-3527/2019 consid. 7.2.4; v. aussi Secrétariat d'Etat aux migrations, Focus Kosovo medizinische Grundversorgung, 2017, ch. 6.5), le système public de santé kosovar, organisé sur trois niveaux, est en mesure d'offrir des prestations médicales correctes; les soins de base sont en principe assurés (arrêts du Tribunal administratif fédéral F-1602/2020 du 14 février 2022 consid. 5.3.8; D-2958/2018 du 12 novembre 2018 consid. 8.4.2) et l'accès à ces soins libre (Commission européenne, loc. cit.). L'offre est suffisante sur un plan quantitatif (Secrétariat d'Etat aux migrations, op. cit., ch. 6.2) et répartie sur l'ensemble du territoire. Dans ce dernier document, le SEM a également constaté que rien n'indiquait que les personnes de retour au Kosovo n'auraient pas un plein accès aux prestations, y compris à celles offertes aux administrés dispensés d'en assumer les frais, cercle qui semble inclure notamment les patients souffrant d'affections chroniques. Cette offre publique est complétée par des fournisseurs de prestations privés (SEM, op. cit., ch. 7.3 et 8.1; Internationale Organisation für Migration [IOM] Deutschland, Kosovo Länderinformationsblatt 2020 ch. 1). La chambre administrative, citant le rapport « Landinfo » du 3 mars 2023 relatif au système de soins de santé au Kosovo, a jugé que ce pays offrait les soins nécessaires dans le domaine de la psychiatrique ( ATA/1046/2023 du 26 septembre 2023 consid.10). En particulier, le nombre d’établissements de soins de santé mentale y avait considérablement augmenté depuis 2000. Les soins psychiatriques de niveau secondaire sont dispensés dans les services psychiatriques des hôpitaux régionaux de Prizren, Pejë/Pec, Gjakovë/Djakovica, Ferizaj/Urosevac et Gjilan/Gnjilane et Mitrovicë/Mtitrovica ainsi qu’à l’hôpital universitaire de Pristina. Un site Web fournissait des informations sur le personnel et les services de chaque hôpital. Des centres de santé mentale avaient par ailleurs été créés dans toutes les grandes villes. Il proposait des conseils et des activités de jour pour les clients, avec des thérapies individuelles, de groupe et familiales. Il proposait également des visites à domicile. Les patients étaient suivis par des psychiatres, des travailleurs sociaux et des infirmiers psychiatriques. 19.         Les demandes en reconsidération n’entraînent ni interruption de délai ni effet suspensif (art. 48 al. 2 LPA). 20.         En l'espèce, le recourant invoque à l'appui de sa demande en reconsidération le fait qu’il souffre d’une dépression et se trouve dans un état de détresse très important nécessitant un traitement médicamenteux, situation médicale essentiellement due à sa crainte d’une expulsion. Il invoque également le temps écoulé et qu’il serait ainsi, à ce jour, en Suisse depuis quatorze ans. Force est de constater que ces « éléments nouveaux » découlent essentiellement de l’écoulement du temps mis à profit par le recourant pour poursuivre son séjour en Suisse, alors qu'il fait l'objet d'une décision de renvoi, entrée en force, prononcée par l'OCPM le 21 octobre 2021 et lui impartissant un délai au 3 janvier 2022 pour quitter la Suisse. Concernant notamment son état dépressif allégué, il n'est pas de nature à remettre en cause la décision entreprise, dans la mesure où sa santé ne serait pas gravement compromise en cas de retour dans son pays d'origine vu l’accès aux soins disponibles au Kosovo. Par ailleurs, il sera relevé que cet état de santé n’est dû qu’à la crainte d’un renvoi au Kosovo et qu’il n’est pas si alarmant puisqu’il n’empêche pas le recourant d’exercer son activité professionnelle. Enfin, le certificat médical produit n’indique pas quels médicaments lui ont été prescrits et qui ne pourraient pas être obtenus en cas de retour au Kosovo. Par ailleurs, comme retenu par la jurisprudence, si l'écoulement du temps et la poursuite d'une intégration socio-professionnelle constituent des modifications des circonstances, ces éléments ne peuvent pas toutefois être qualifiés de notables au sens de l'art. 48 al. 1 let. b LPA lorsqu'ils résultent uniquement du fait que l'étranger ne s'est pas conformé à une décision initiale malgré son entrée en force, ce qui est le cas en l’espèce. Partant, le recourant ne fait pas valoir une modification notable des circonstances susceptible de fonder le réexamen de la décision de l’OCPM du 29 octobre 2021. 21.         C'est dès lors à bon droit que l'OCPM a refusé d'entrer en matière sur sa demande en reconsidération. 22.         Le recours sera donc rejeté et la décision contestée confirmée. Dès lors, la question de la restitution de l’effet suspensif au recours est devenue sans objet. 23.         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versée à la suite du dépôt du recours. Vu l’issue du litige, aucune indemnité de procédure ne sera allouée (art. 87 al. 2 LPA). 24.         En vertu des art. 89 al. 2 et 111 al. 2 de la loi sur le Tribunal fédéral du 17 juin 2005 (LTF - RS 173.110), le présent jugement sera communiqué au secrétariat d'État aux migrations.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