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A/294/2023 vom 11. August 2023</w:t>
      </w:r>
    </w:p>
    <w:p>
      <w:r>
        <w:t>GE Cour de justice, 2023-08-11, FR</w:t>
      </w:r>
    </w:p>
    <w:p>
      <w:r>
        <w:rPr>
          <w:b/>
        </w:rPr>
        <w:t xml:space="preserve">Quelle: </w:t>
      </w:r>
      <w:r>
        <w:t>https://mcp.opencaselaw.ch/entscheid/ge_gerichte_A_294_2023</w:t>
      </w:r>
    </w:p>
    <w:p>
      <w:r>
        <w:t>FR: GE_GERICHTE A/294/2023 du 11 août 2023</w:t>
      </w:r>
    </w:p>
    <w:p>
      <w:r>
        <w:t>IT: GE_GERICHTE A/294/2023 del 11 agosto 2023</w:t>
      </w:r>
    </w:p>
    <w:p>
      <w:pPr>
        <w:pStyle w:val="Heading2"/>
      </w:pPr>
      <w:r>
        <w:t>Erwägungen</w:t>
      </w:r>
    </w:p>
    <w:p>
      <w:r>
        <w:rPr>
          <w:b/>
        </w:rPr>
        <w:t>E. 1</w:t>
      </w:r>
    </w:p>
    <w:p>
      <w:r>
        <w:t>![endif]&gt;![if&gt;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compte tenu notamment de la suspension des délais pour la période du 18 décembre au 2 janvier inclusivement (art. 38 al. 4 let. c LPGA et art. 89C let. c LPA), le recours est recevable (art. 56 ss LPGA et 62 ss LPA).![endif]&gt;![if&gt;</w:t>
      </w:r>
    </w:p>
    <w:p>
      <w:r>
        <w:rPr>
          <w:b/>
        </w:rPr>
        <w:t>E. 2</w:t>
      </w:r>
    </w:p>
    <w:p>
      <w:r>
        <w:t>Le litige porte sur le bien-fondé de la suspension de trois jours du droit à l’indemnité du recourant, pour recherches personnelles insuffisantes en août 2022. ![endif]&gt;![if&gt;</w:t>
      </w:r>
    </w:p>
    <w:p>
      <w:r>
        <w:rPr>
          <w:b/>
        </w:rPr>
        <w:t>E. 3</w:t>
      </w:r>
    </w:p>
    <w:p>
      <w:r>
        <w:t>![endif]&gt;![if&gt;</w:t>
      </w:r>
    </w:p>
    <w:p>
      <w:r>
        <w:rPr>
          <w:b/>
        </w:rPr>
        <w:t>E. 3.1</w:t>
      </w:r>
    </w:p>
    <w:p>
      <w:r>
        <w:t>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 il doit ensuite se conformer aux prescriptions de contrôle édictées par le Conseil fédéral (al. 2). Pour juger de la suffisance des efforts consentis par l'intéressé dans ses recherches d'emploi, il doit être tenu compte non seulement de la quantité, mais aussi de la qualité des démarches entreprises (ATF 124 V 231 consid. 4).![endif]&gt;![if&gt; La violation des obligations de l'art. 17 LACI expose à l'assuré une suspension de son droit à l'indemnité.</w:t>
      </w:r>
    </w:p>
    <w:p>
      <w:r>
        <w:rPr>
          <w:b/>
        </w:rPr>
        <w:t>E. 3.2</w:t>
      </w:r>
    </w:p>
    <w:p>
      <w:r>
        <w:t>Sur le plan quantitatif, la jurisprudence considère que dix à douze recherches d'emploi par mois sont en principe suffisantes (ATF 124 V 225 ).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2018).![endif]&gt;![if&gt;</w:t>
      </w:r>
    </w:p>
    <w:p>
      <w:r>
        <w:rPr>
          <w:b/>
        </w:rPr>
        <w:t>E. 3.3</w:t>
      </w:r>
    </w:p>
    <w:p>
      <w:r>
        <w:t>À teneur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d).![endif]&gt;![if&gt; L’art. 30 al. 1 let. c LACI prévoit ainsi une sanction en cas de violation de l’obligation de diminuer le dommage consacrée à l’art. 17 al. 1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16 avril 2008 consid. 2.1.2).</w:t>
      </w:r>
    </w:p>
    <w:p>
      <w:r>
        <w:rPr>
          <w:b/>
        </w:rPr>
        <w:t>E. 3.4</w:t>
      </w:r>
    </w:p>
    <w:p>
      <w:r>
        <w:t>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n. 15 ad. art. 30).![endif]&gt;![if&gt; Conformément à l'art. 30 al. 2 LACI, l'autorité cantonale prononce les suspensions notamment au sens de l'al. 1 let. c et d. Sous l'angle plus précisément de l'art. 30 al. 1 let. c LACI, l'art. 26 de l’ordonnance sur l’assurance-chômage obligatoire et l’indemnité en cas d’insolvabilité du 31 août 1983 (OACI - RS 837.02), intitulé " recherches personnelles de l'assuré pour trouver du travail ", prévoit que l'assuré doit cibler ses recherches d'emploi - RPE -,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d'excuses valables, les recherches d'emploi ne sont plus prises en considération (al. 2 ; ATF 145 V 90 consid. 3.1). Peu importe que les preuves soient produites ultérieurement, par exemple dans une procédure d’opposition (ATF 139 V 164 consid. 3.3). L'office compétent contrôle chaque mois les recherches d'emploi de l'assuré (al. 3).</w:t>
      </w:r>
    </w:p>
    <w:p>
      <w:r>
        <w:rPr>
          <w:b/>
        </w:rPr>
        <w:t>E. 3.5</w:t>
      </w:r>
    </w:p>
    <w:p>
      <w:r>
        <w:t>Selon l’art. 45 al. 3 OACI, la suspension est de 1 à 15 jours en cas de faute légère, de 16 à 30 jours en cas de faute de gravité moyenne et de 31 à 60 jours en cas de faute grave.![endif]&gt;![if&gt; La durée de la suspension du droit à l'indemnité de chômage est fixée compte tenu non seulement de la faute, mais également du principe de la proportionnalité (Thomas NUSSBAUMER, Arbeitslosenversicherung, in : Schweizerisches Bundesverwaltungsrecht [SBVR], Soziale Sicherhait, 2ème éd., n° 855 p. 2435). Le Bulletin LACI/IC – marché du travail / assurance-chômage du SECO, prévoit en cas de recherches insuffisantes d'emploi pendant la période de contrôle une suspension de l’indemnité de 3 à 4 jours de suspension la première fois et de 5 à 9 jours la seconde fois, la faute étant considérée comme légère dans les deux cas (SECO, Bulletin LACI/IC, n. D79).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8C_601/2012 du 26 février 2013 et 8C_537/2013 du 16 avril 2014).</w:t>
      </w:r>
    </w:p>
    <w:p>
      <w:r>
        <w:rPr>
          <w:b/>
        </w:rPr>
        <w:t>E. 3.6</w:t>
      </w:r>
    </w:p>
    <w:p>
      <w:r>
        <w:t>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Commentaire de la loi sur l’assurance-chômage, 2014, n. 110 ad art. 30).![endif]&gt;![if&gt;</w:t>
      </w:r>
    </w:p>
    <w:p>
      <w:r>
        <w:rPr>
          <w:b/>
        </w:rPr>
        <w:t>E. 3.7</w:t>
      </w:r>
    </w:p>
    <w:p>
      <w:r>
        <w:t>Il incombe à la personne assurée de prouver que les documents qu’elle a envoyés à l’autorité ont réellement été envoyés et qu’ils l’ont été à temps sans quoi elle supporte les conséquences de l’absence de preuve. Cela vaut notamment pour les preuves des recherches personnelles d’emploi (Boris RUBIN, Assurance-chômage et service public de l’emploi, 2019, n. 314 et 1116 ss). ![endif]&gt;![if&gt; Comme le Tribunal fédéral l’a rappelé dans un récent arrêt concernant la remise à temps de la liste des recherches d’emploi ( 8C_747/2018 du 20 mars 2019 consid. 2.2), malgré les pertes de documents pouvant se produire dans toute administration, la jurisprudence a presque toujours indiqué que les assurés supportaient les conséquences de l'absence de preuve en ce qui concerne la remise d’une telle liste (cf. arrêt du Tribunal fédéral C 294/99 du 14 décembre 1999 consid. 2a, in DTA 2000 n. 25 p. 122 ; cf. aussi les arrêts du Tribunal fédéral 8C_239/2018 du 12 février 2019 consid. 3.2 ; 8C_460/2013 du 16 avril 2014 consid. 3 ; 8C_591/2012 du 29 juillet 2013 consid. 4) et la date effective de la remise (arrêt du Tribunal fédéral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 consid. 3.2 ; Boris RUBIN, Commentaire de la loi sur l’assurance-chômage, 2014, n. 32 ad art. 17). Il sied de rappeler à ce titre que l'envoi du formulaire de preuves de recherches d'emploi à l'autorité par la voie électronique est admissible mais que, compte tenu du manque de fiabilité du trafic électronique en général, des difficultés liées à la preuve de l'arrivée d'un message électronique dans la sphère de contrôle du destinataire en particulier, l'expéditeur d'un e-mail est invité à requérir du destinataire une confirmation de réception de son envoi (y compris des pièces annexes au courriel), et de réagir en l'absence de cette dernière en déposant son pli auprès de la poste ou en réessayant de l'envoyer par voie électronique (cf.  ATF 145 V 90 consid. 6.1.2), car même si l’ordinateur est programmé pour donner immédiatement confirmation de la réception, le justiciable doit prendre les précautions nécessaires dans l’éventualité d’une panne informatique, technique ou électrique (arrêt du Tribunal fédéral 6B_691/2012 du 21 février 2013 consid. 1.4 ; Daniel STOLL, in Commentaire romand, 2011, n.17 ad art. 91 CPP ; Christof RIEDO, in Commentaire balois, 2011, n. 37 ad art. 91 CPP). Il y a lieu de rappeler que le système électronique n’est généralement fiable que dans une mesure limitée (arrêt du Tribunal fédéral 2C_699/2012 du 22 octobre 2012 consid. 4.2 ; Roger ROHNER, Rechtsprobleme der elektronischen Steuerveranlagung, 2008, p. 85).</w:t>
      </w:r>
    </w:p>
    <w:p>
      <w:r>
        <w:rPr>
          <w:b/>
        </w:rPr>
        <w:t>E. 3.8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4</w:t>
      </w:r>
    </w:p>
    <w:p>
      <w:r>
        <w:t>![endif]&gt;![if&gt;</w:t>
      </w:r>
    </w:p>
    <w:p>
      <w:r>
        <w:rPr>
          <w:b/>
        </w:rPr>
        <w:t>E. 4.1</w:t>
      </w:r>
    </w:p>
    <w:p>
      <w:r>
        <w:t>En l’espèce, il ressort du dossier que le recourant a rempli son formulaire RPE d’août 2022 (comme ceux des autres mois) de manière informatique, soit à travers la plateforme du site internet de Job-Room, chaque recherche d’emploi étant sauvegardée au fur et à mesure de son insertion dans le système informatique - formulaire en ligne - (géré par ou pour l’office). Dans le formulaire RPE d’août 2022, il y avait dix postulations indiquées, dont trois identiques auprès de l’entreprise B______. Le recourant soutient que ce doublon est dû à un dysfonctionnement de la plateforme informatique de Job-Room. Il sollicite la production des fichiers informatiques de Job-Room, par le « ServiceDesk », afin de démontrer qu’il a introduit dans le délai les recherches d’emploi dans le logiciel de Job-Room. Il apparaît toutefois que l’autorité intimée a procédé à l’instruction requise en invitant le « ServiceDesk » à lui transmettre les données informatiques relatives aux recherches saisies les 30 août et 5 septembre 2022, de sorte que la mesure sollicitée ne paraît pas nécessaire. ![endif]&gt;![if&gt; Quoi qu’il en soit, et selon la jurisprudence précitée, compte tenu du manque de fiabilité du trafic électronique en général, il appartenait au recourant de prendre des précautions en contrôlant la confirmation de l’enregistrement de ses recherches dans le système de Job-Room et en vérifiant l’envoi de ses preuves de recherches d’emploi de manière à s’assurer que ces dernières avaient bien été transmises à travers la plateforme Job-Room, avant l’échéance du cinq du mois suivant. En l’absence d’assurances sur ce point, il lui appartenait de déposer son pli auprès de la Poste avant l’échéance du délai (cf. ATAS/726/2021 du 30 juin 2021 consid. 7). Il aurait à tout le moins dû contacter son conseiller pour lui signaler le problème (arrêt du Tribunal fédéral 8C_313/2021 du 3 août 2021), ce qu’il n’a pas fait, violant ainsi ses obligations. C’est donc à juste titre que l’intimé a retenu que le recourant a effectué des recherches d’emploi insuffisantes quantitativement au mois d’août 2022, finalisant un total de huit RPE au lieu des dix exigées par mois.</w:t>
      </w:r>
    </w:p>
    <w:p>
      <w:r>
        <w:rPr>
          <w:b/>
        </w:rPr>
        <w:t>E. 4.2</w:t>
      </w:r>
    </w:p>
    <w:p>
      <w:r>
        <w:t>La sanction devant ainsi être confirmée dans son principe, il reste à en examiner la quotité. ![endif]&gt;![if&gt; Il sied de rappeler que le recourant s’est continuellement conformé à ses obligations en matière de RPE, n’ayant jamais témoigné de retard dans la remise de ses formulaires, tout en rendant des recherches satisfaisantes tant qualitativement que quantitativement, ce d’autant que le recourant a tout de même effectué à plusieurs reprises davantage de postulations que nécessaire. Il a également effectué plusieurs formations en vue de renforcer son parcours professionnel ainsi que de pouvoir s’ouvrir à des postulations d’offres plus variées. Ces éléments témoignent de ce que le recourant a pris au sérieux ses obligations de chômeur et s’est employé, dans la mesure de ses capacités, à effectuer les démarches utiles en vue de sortir du chômage. Il s’ensuit que la faute du recourant est particulièrement légère puisqu’il n’a omis de fournir que deux RPE depuis son inscription au chômage, soit sur une période de plus d’un an. Par ailleurs, au vu des pièces transmises par le recourant à l’intimé le 9, puis le 12 septembre 2022, il apparaîtrait qu’il aurait effectué les dix RPE requises pour le mois d’août 2022. Toutes ces circonstances tendent à retenir une faute légère justifiant l’application du minimum de 3 jours prévu par le barème du SECO (cf. supra consid. 3.5). Dans ces conditions, on ne saurait faire grief à l'intimé d'avoir mésusé de son pouvoir d'appréciation, la sanction fixée entrant dans la catégorie des fautes légères, de sorte que la chambre de céans ne saurait, dans le cas d'espèce, justifier par des motifs sérieux et pertinents qui auraient été ignorés de l'autorité intimée, une modification de la sanction infligée, laquelle respecte le principe de la proportionnalité. La décision querellée sera confirmée.</w:t>
      </w:r>
    </w:p>
    <w:p>
      <w:r>
        <w:rPr>
          <w:b/>
        </w:rPr>
        <w:t>E. 5</w:t>
      </w:r>
    </w:p>
    <w:p>
      <w:r>
        <w:t>Le recours, infondé, sera rejeté.![endif]&gt;![if&gt; Pour le surplus, la procédure est gratuite (art. 89H al. 1 LPA et vu l’art. 61 let. f bis a contrario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