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A/2949/2021 vom 10. Januar 2022</w:t>
      </w:r>
    </w:p>
    <w:p>
      <w:r>
        <w:t>GE Cour de justice, 2022-01-10, FR</w:t>
      </w:r>
    </w:p>
    <w:p>
      <w:r>
        <w:rPr>
          <w:b/>
        </w:rPr>
        <w:t xml:space="preserve">Quelle: </w:t>
      </w:r>
      <w:r>
        <w:t>https://mcp.opencaselaw.ch/entscheid/ge_gerichte_A_2949_2021</w:t>
      </w:r>
    </w:p>
    <w:p>
      <w:r>
        <w:t>FR: GE_GERICHTE A/2949/2021 du 10 janvier 2022</w:t>
      </w:r>
    </w:p>
    <w:p>
      <w:r>
        <w:t>IT: GE_GERICHTE A/2949/2021 del 10 gennaio 2022</w:t>
      </w:r>
    </w:p>
    <w:p>
      <w:pPr>
        <w:pStyle w:val="Heading2"/>
      </w:pPr>
      <w:r>
        <w:t>Regeste</w:t>
      </w:r>
    </w:p>
    <w:p>
      <w:r>
        <w:t>PERMIS DE CONDUIRE;RETRAIT DE PERMIS;ACCIDENT DE LA CIRCULATION;PRIORITÉ(CIRCULATION);GRAVITÉ DE LA FAUTE;FAUTE GRAVE | LCR.1; LCR.31.al1; OCR.3; OCR.14.al1; LCR.16.al2; LCR.16c</w:t>
      </w:r>
    </w:p>
    <w:p>
      <w:pPr>
        <w:pStyle w:val="Heading2"/>
      </w:pPr>
      <w:r>
        <w:t>Volltext</w:t>
      </w:r>
    </w:p>
    <w:p>
      <w:r>
        <w:t>Genf Tribunal administratif de première instance en matière fiscale 10.01.2022 A/2949/2021 Genève Tribunal administratif de première instance en matière fiscale 10.01.2022 A/2949/2021 Ginevra Tribunal administratif de première instance en matière fiscale 10.01.2022 A/2949/2021</w:t>
      </w:r>
    </w:p>
    <w:p>
      <w:r>
        <w:t>PERMIS DE CONDUIRE;RETRAIT DE PERMIS;ACCIDENT DE LA CIRCULATION;PRIORITÉ(CIRCULATION);GRAVITÉ DE LA FAUTE;FAUTE GRAVE | LCR.1; LCR.31.al1; OCR.3; OCR.14.al1; LCR.16.al2; LCR.16c</w:t>
      </w:r>
    </w:p>
    <w:p>
      <w:r>
        <w:t>A/2949/2021 JTAPI/13/2022 du 10.01.2022 ( LCR ) , REJETE Descripteurs : PERMIS DE CONDUIRE;RETRAIT DE PERMIS;ACCIDENT DE LA CIRCULATION;PRIORITÉ(CIRCULATION);GRAVITÉ DE LA FAUTE;FAUTE GRAVE Normes : LCR.1; LCR.31.al1; OCR.3; OCR.14.al1; LCR.16.al2; LCR.16c En fait En droit Par ces motifs RÉPUBLIQUE ET CANTON DE GENÈVE POUVOIR JUDICIAIRE A/2949/2021 LCR JTAPI/13/2022 JUGEMENT DU TRIBUNAL ADMINISTRATIF DE PREMIÈRE INSTANCE du 10 janvier 2022 dans la cause Monsieur A______ , représenté par Me Pierre-Bernard PETITAT, avocat, avec élection de domicile contre OFFICE CANTONAL DES VÉHICULES EN FAIT 1.             Le 1______ 2021, à 16h10, Monsieur A______, domicilié à Genève, a été impliqué dans un accident de la circulation.![endif]&gt;![if&gt; Selon le rapport de police établi à cette occasion, il circulait sur la route de Crissier à Bussigny (Vaud), en direction de Morges, à une vitesse d’environ 40 km/h selon ses dires. Arrivé à la signalisation lumineuse sise au débouché de la route de Lausanne, il n’a pas fait attention à la phase, alors rouge, pour sa voie de circulation. Il a poursuivi sa route tout droit et, de ce fait, n’a pas accordé la priorité à Monsieur B______, qui survenant sur sa droite, venait de démarrer à la phase verte pour sa voie de présélection, soit celle de gauche sur la route de Lausanne, en direction de Crissier. Malgré une tentative d’évitement des deux parties, M. A______ n’a pas pu éviter le choc et est venu percuter avec l’avant droit de son véhicule l’aile avant gauche du véhicule de M. C______. Le rapport de police précise qu’au moment de l’accident, il faisait beau, la visibilité était étendue et la route sèche. 2.             Par courrier du 8 juillet 2021, l’office cantonal des véhicules (ci-après : OCV ou l'office) a informé M. A______ que les autorités de police lui avaient transmis le rapport établi suite à cette infraction, lui indiquant qu'une mesure administrative pouvait être prise à son encontre, indépendamment de l'amende ou d'une autre sanction pénale, de sorte qu'un délai de quinze jour lui était imparti pour produire ses observations écrites.![endif]&gt;![if&gt; 3.             Par ordonnance pénale du même jour, le Préfet de l’Ouest lausannois a condamné M. A______ à une amende de CHF 400.-, retenant qu’il avait été impliqué dans un accident au volant d’un véhicule le 1______ 2021 à 16h10 et que, inattentif à la route et à la circulation, il n’avait pas respecté la signalisation lumineuse et, de ce fait, n’avait pas accordé la priorité à un véhicule survenant sur sa droite.![endif]&gt;![if&gt; Cette ordonnance faisait référence aux dispositions légales suivantes : art. 27 al. 1 de la loi fédérale sur la circulation routière du 19 décembre 1958 (LCR - RS 741.01), art. 3 al. 1 et 14 al. 1 de l’ordonnance sur les règles de la circulation routière du 13 novembre 1962 (OCR - RS 741.11) et art. 68 al. 1bis de l’ordonnance sur la signalisation routière du 5 septembre 1979 (OSR - RS 741.21). 4.             Cette ordonnance n’ayant pas été contestée, elle est entrée en force.![endif]&gt;![if&gt; 5.             Le 20 juillet 2021, M. A______, sous la plume de son conseil, a transmis ses observations à l’OCV.![endif]&gt;![if&gt; Il ne s’expliquait pas bien les circonstances de l’accident. Ayant passé au feu vert environ 70 m avant le lieu de la collision, il devait probablement rouler trop lentement pour passer avant que le feu ne devienne vert pour les véhicules circulant sur la route perpendiculaire. Ses antécédents étaient très bons. Il exploitait en raison individuelle une entreprise de maçonnerie et de rénovation générale. Conduire un véhicule lui était professionnellement et quotidiennement indispensable. 6.             Par décision du 6 août 2021, prise en application de l’art. 16c LCR, l’OCV a prononcé le retrait du permis de conduire de M. A______ pour une durée de trois mois, précisant que, vu l'ensemble des circonstances, il prononçait une mesure ne s'écartant pas du minimum légal, étant observé que ce dernier avait justifié d’un besoin professionnel de conduire au sens défini par la jurisprudence et qu’il pouvait justifier d’une bonne réputation, le système d’information relatif à l’admission à la circulation ne faisant apparaître aucun antécédent.![endif]&gt;![if&gt; 7.             Par acte du 6 septembre 2021, M. A______ (ci-après : le recourant) a recouru contre la décision précitée auprès du Tribunal administratif de première instance (ci-après : le tribunal) concluant, principalement, à son annulation et, subsidiairement, au renvoi de la cause à l’autorité intimée pour nouvelle décision dans le sens des considérants.![endif]&gt;![if&gt; La décision querellée n’avait pas été adressée à son avocat, malgré sa constitution, mais à lui directement. Elle avait par ailleurs été envoyée début août, malgré la probabilité élevée qu’il fût en vacances. L’OCV avait excédé ou abusé de son pouvoir d’appréciation. En effet, le passage à un feu rouge n’était pas obligatoirement une faute grave, étant précisé qu’il contestait avoir passé le feu au rouge. Au moment de l’accident, la visibilité était très bonne et la route sèche, de sorte qu’en tant que conducteur très expérimenté, il contestait avoir mis sciemment en danger la sécurité d’autrui. C’était à sa grande surprise qu’un véhicule avait surgi à sa droite, alors qu’il était sûr d’être prioritaire. Un examen de l’ensemble des circonstances faisait apparaître qu’il s’agissait au maximum d’une faute moyennement grave. Ceci était d’autant plus vrai que ses antécédents étaient très bons et qu’il avait une utilité professionnelle du véhicule, ce qui avait du reste été reconnu par l’OCV. Partant, la sanction aurait dû se réduire au maximum à un avertissement. 8.             Le 10 novembre 2021, l’OCV a déposé ses observations. Il a produit son dossier.![endif]&gt;![if&gt; À titre liminaire, il admettait ne pas avoir respecté l’élection de domicile, ce qu’il regrettait. Pour le surplus, il persistait dans les termes de sa décision, conforme à la loi et à la jurisprudence fédérale en matière d’inobservation d’une signalisation lumineuse à la phase rouge et heurt d’un véhicule prioritaire, étant relevé qu’il ne s’était pas écarté du minimum légal. Enfin, le recourant avait été reconnu coupable des faits précités par ordonnance pénale du 8 juillet 2021, laquelle était assimilée à un jugement entré en force. 9.             Par courrier du 22 novembre 2021, le recourant a informé le tribunal persister dans les termes et conclusions de son recours.![endif]&gt;![if&gt;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À titre liminaire, il sera relevé que le non-respect de l’élection de domicile par l’OCV n’a pas eu de conséquences pour le recourant qui a pu agir en temps utile, de sorte que ce grief sera écarté.![endif]&gt;![if&gt; 5.             À teneur de l'art. 27 al. 1 LCR, chacun se conformera aux signaux et marques ainsi qu'aux ordres de la police ; le feu rouge signifie "arrêt" (art. 68 al. 1bis OSR).![endif]&gt;![if&gt; Le conducteur devra rester constamment maître de son véhicule de façon à pouvoir se conformer aux devoirs de la prudence (art. 31 al. 1 LCR) ; le conducteur vouera ainsi toute son attention à la route et à la circulation routière (art. 3 OCR). Celui qui est tenu d’accorder la priorité ne doit pas gêner dans sa marche le conducteur bénéficiant de la priorité. Il réduira sa vitesse à temps et, s’il doit attendre, s’arrêtera avant le début de l’intersection (art. 14 al. 1 OCR). 6.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 du 21 avril 2017 consid. 2.2.2 et l'arrêt cité ; 1C_146/2015 du 7 septembre 2015 consid. 2.1 et les arrêts cités).![endif]&gt;![if&gt; 7.             En l’espèce, le recourant a été reconnu coupable d’infraction à la LCR, à l’OCR et à l’OSR (art. 27 al. 1 LCR, 3 al. 1 et 14 al. 1 OCR et 68 al. 1bis OSR) par ordonnance pénale du 8 juillet 2021, entrée en force.![endif]&gt;![if&gt; Les faits retenus par l’autorité pénale, à savoir que le recourant, inattentif à la route et à la circulation, n’a pas respecté la signalisation lumineuse et de ce fait, n’a pas accordé la priorité à un véhicule survenant sur sa droite, doivent être considérés comme établis, puisque le recourant n’a pas contesté l’ordonnance pénale dont il a fait l’objet. 8.             Reste à examiner la gravité de l’infraction commise.![endif]&gt;![if&gt; Le recourant soutient que seule une infraction de gravité moyenne peut lui être reprochée et que la sanction doit être réduite à un avertissement. 9.             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avertissement.![endif]&gt;![if&gt; 10.         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s).![endif]&gt;![if&gt; 11.         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2.2).![endif]&gt;![if&gt; 12.         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2).![endif]&gt;![if&gt; 13.         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2).![endif]&gt;![if&gt; 14.         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760).![endif]&gt;![if&gt; 15.         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 ![endif]&gt;![if&gt; 16.         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Par ailleurs, il n'est pas établi que la violation de la signalisation lumineuse par le recourant résulterait de circonstances telles qu'elles permettraient au tribunal de s'écarter de l'appréciation de l'autorité intimée en niant l'existence d'une faute grave.![endif]&gt;![if&gt; Dans ces conditions, et au vu de la jurisprudence rappelée plus haut, l’OCV n’a pas mésusé de son pouvoir d’appréciation en qualifiant l’infraction de grave au sens de l’art. 16c al. 1 let. a LCR. 17.         Après une infraction grave, le permis de conduire est retiré pour une durée minimale de trois mois (art. 16c al. 2 let. a LCR). ![endif]&gt;![if&gt; 18.         Selon l’art. 16 al. 3 LCR,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2015).![endif]&gt;![if&gt; 19.         En l’occurrence, l’OCV ne s’être pas écarté du minimum légal prévu par l’art. 16c al. 2 let. a LCR en fixant à trois mois la durée du retrait du permis de conduire du recourant, qui n’a pas d’antécédent. Etant lié par cette durée, qui constitue le minimum légal incompressible devant sanctionner l'infraction en cause, il a correctement appliqué les règles en vigueur et n'a pas excédé ou abusé de son pouvoir d'appréciation, ne pouvant en aucune manière tenir compte de la bonne réputation et des besoins professionnels allégués par le recourant.![endif]&gt;![if&gt; Il en résulte que sa décision ne peut être que confirmée. 20.         Ne reposant sur aucun motif valable, le recours sera rejeté.![endif]&gt;![if&gt; 21.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6 septembre 2021 par Monsieur A______ contre la décision de l'office cantonal des véhicules du 6 août 2021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