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A/2949/2007 vom 18. Oktober 2004</w:t>
      </w:r>
    </w:p>
    <w:p>
      <w:r>
        <w:t>GE Cour de justice, 2004-10-18, FR</w:t>
      </w:r>
    </w:p>
    <w:p>
      <w:r>
        <w:rPr>
          <w:b/>
        </w:rPr>
        <w:t xml:space="preserve">Quelle: </w:t>
      </w:r>
      <w:r>
        <w:t>https://mcp.opencaselaw.ch/entscheid/ge_gerichte_A_2949_2007</w:t>
      </w:r>
    </w:p>
    <w:p>
      <w:r>
        <w:t>FR: GE_GERICHTE A/2949/2007 du 18 octobre 2004</w:t>
      </w:r>
    </w:p>
    <w:p>
      <w:r>
        <w:t>IT: GE_GERICHTE A/2949/2007 del 18 ottobre 2004</w:t>
      </w:r>
    </w:p>
    <w:p>
      <w:pPr>
        <w:pStyle w:val="Heading2"/>
      </w:pPr>
      <w:r>
        <w:t>Regeste</w:t>
      </w:r>
    </w:p>
    <w:p>
      <w:r>
        <w:t>Objet de la plainte. | La lettre de l'Office des poursuites "proposant" aux créanciers et débiteurs la délivrance d'un acte de défaut de biens ne constitue pas une décision. | LP.17</w:t>
      </w:r>
    </w:p>
    <w:p>
      <w:pPr>
        <w:pStyle w:val="Heading2"/>
      </w:pPr>
      <w:r>
        <w:t>Erwägungen</w:t>
      </w:r>
    </w:p>
    <w:p>
      <w:r>
        <w:rPr>
          <w:b/>
        </w:rPr>
        <w:t>E. 1</w:t>
      </w:r>
    </w:p>
    <w:p>
      <w:r>
        <w:t>Il peut être porté plainte contre toute mesure déterminée ou omission de l'Office qui consacre une violation de la loi ou qui n'est pas justifiée en fait (art. 17 al. al. 1 LP). La plainte doit être déposée dans les dix jours de celui où le plaignant a eu connaissance de la mesure (art. 17 al. 2 LP).</w:t>
      </w:r>
    </w:p>
    <w:p>
      <w:r>
        <w:rPr>
          <w:b/>
        </w:rPr>
        <w:t>E. 2</w:t>
      </w:r>
    </w:p>
    <w:p>
      <w:r>
        <w:t>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La simple opinion exprimée par le préposé ou des indications de portée générale sur ses intentions, de même que la confirmation d'une décision déjà prise antérieurement ne peuvent faire l'objet d'une plainte (ATF 116 III 91 consid. 1 ; Nicolas Jeandin , Poursuite pour dettes et faillite. La plainte, FJS n° 679 p. 6 ; Franco Lorandi , Betreibungsrechtliche Beschwerde und Nichtigkeit, Kommentar zu den Artikeln 13-30 SchKG, Bâle-Genève-Munich 2000, ad art. 17 n° 46 ss ; Pierre-Robert Gilliéron , Commentaire, ad art. 17 n° 9 ss ; Flavio Cometta , in SchKG I, ad art. 17 n° 18 ss ; Kurt Amonn / Fridolin Walther , Grundriss, 7 ème éd., Berne 2003, § 6 n° 7 ss) ; aussi, l'art. 21 LP prévoit-il que, lorsque la plainte est reconnue fondée, l'autorité annule ou redresse l'acte qui en fait l'objet. 3.a. En l'espèce, en dépit de son intitulé et de l'indication de la voie de recours, le courrier du 13 juillet 2007 adressé au poursuivi et aux créanciers participant à la série considérée et à teneur duquel l'Office leur "propose" la délivrance d'un acte de défaut de biens, ne saurait constituer une décision au sens de la jurisprudence et de la doctrine rappelée ci-dessus. Il appartiendra, le cas échéant, aux destinataires des actes de défaut de biens (art. 149 LP) de former plainte dans les dix jours à compter de leur communication. 3.b. Il sied, par ailleurs, de relever que la présente plainte vise à obtenir des renseignements et des éclaircissements sur le contenu de la lettre de l’Office. Or, une telle plainte est irrecevable. PAR CES MOTIFS, LA COMMISSION DE SURVEILLANCE SIÉGEANT EN SECTION : Déclare irrecevable la plainte formée le 30 juillet 2007 par M. P______ dans le cadre des poursuites dirigées à son encontre et formant la série n° 06 xxxxxx R. Siégeant : Mme Ariane WEYENETH, présidente ; Mme Florence CASTELLA et M. Philipp GANZONI, juges assesseur(e)s.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