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A/2944/2014 vom 18. Januar 2016</w:t>
      </w:r>
    </w:p>
    <w:p>
      <w:r>
        <w:t>GE Cour de justice, 2016-01-18, FR</w:t>
      </w:r>
    </w:p>
    <w:p>
      <w:r>
        <w:rPr>
          <w:b/>
        </w:rPr>
        <w:t xml:space="preserve">Quelle: </w:t>
      </w:r>
      <w:r>
        <w:t>https://mcp.opencaselaw.ch/entscheid/ge_gerichte_A_2944_2014</w:t>
      </w:r>
    </w:p>
    <w:p>
      <w:r>
        <w:t>FR: GE_GERICHTE A/2944/2014 du 18 janvier 2016</w:t>
      </w:r>
    </w:p>
    <w:p>
      <w:r>
        <w:t>IT: GE_GERICHTE A/2944/2014 del 18 gennaio 2016</w:t>
      </w:r>
    </w:p>
    <w:p>
      <w:pPr>
        <w:pStyle w:val="Heading2"/>
      </w:pPr>
      <w:r>
        <w:t>Erwägungen</w:t>
      </w:r>
    </w:p>
    <w:p>
      <w:r>
        <w:rPr>
          <w:b/>
        </w:rPr>
        <w:t>E. 1</w:t>
      </w:r>
    </w:p>
    <w:p>
      <w:r>
        <w:t>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er al. 1 LAA, les dispositions de la LPGA s’appliquent à l’assurance-accidents, à moins que la loi n’y déroge expressément. Toutefois, les modifications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la question de savoir si les atteintes à la hanche droite du recourant doivent être prises en charge par l’intimée au-delà de la fin de l’année 2009.</w:t>
      </w:r>
    </w:p>
    <w:p>
      <w:r>
        <w:rPr>
          <w:b/>
        </w:rPr>
        <w:t>E. 5</w:t>
      </w:r>
    </w:p>
    <w:p>
      <w:r>
        <w:t>a/aa.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a/bb.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(arrêt du Tribunal fédéral des assurances U 225/99 du 22 septembre 2000 consid. 9a).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Enfin, on précisera que l'indication d'une intervention chirurgicale n'est pas un critère juridiquement pertinent pour juger si un acte médical répond à la définition légale de l'accident (ATF 118 V 283 consid. 3b). Pour un résumé de la casuistique en cas d'erreur médicale, cf. arrêt du Tribunal fédéral 8C_767/2012 du 18 juillet 2013 consid. 3.3. a/cc.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À propos de l’art. 9 al. 2 let. f OLAA, on précisera en outre qu’une déchirure tendineuse partielle suffit pour ouvrir droit aux prestations, pour autant qu’elle soit clairement établie (ATF 114 V 298 consid. 5c ; arrêt du Tribunal fédéral 8C_696/2009 du 12 novembre 2009 consid. 5.2 ; arrêt du Tribunal fédéral des assurances U 221/02 du 23 septembre 2003 consid. 3.1). b.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b/aa.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 b/bb.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c. Par opposition,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2007 consid. 4.2; arrêt du Tribunal fédéral des assurances U 220/02 du 6 août 2003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consid. 3.2 et 8C_357/2007 consid. 3.2).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11</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12</w:t>
      </w:r>
    </w:p>
    <w:p>
      <w:r>
        <w:t>a. En l’espèce, il ressort des constatations médicales faites lors de l’échographie du pli inguinal du 26 janvier 2010 que le tendon du moyen fessier se distingue par une rupture de son extrémité distale par décollement. Quant à l’IRM du 2 août 2010, elle fait état d’une désinsertion partielle antérieure du moyen fessier du côté droit et d’une désinsertion complète du petit fessier du côté droit. Il ressort enfin du rapport opératoire du 15 août 2011 que le moyen et le petit fessier étaient effectivement désinsérés. En outre, il n’est pas contesté que la chute du 9 juillet 2009 a déclenché les symptômes ressentis par le recourant et que les examens pratiqués pour rechercher l’origine de ces symptômes ont mis en évidence ces désinsertions des tendons du moyen et du petit fessier. La désinsertion se définissant comme un arrachement de son point d’attache, d’un muscle, d’un tendon ou d’une membrane (cf. GARNIER/DELAMARE, Dictionnaire illustré des termes de médecine, 28 ème éd. 2004), les désinsertions en cause constituent des déchirures tendineuses au sens de l’art. 9 al. 2 let. f OLAA, soit des lésions assimilées à un accident. Par ailleurs, il n’est ni contestable ni contesté que l’événement du 9 juillet 2009 remplit tous les éléments constitutifs d’un accident au sens de l’art. 4 LPGA. En effet, le fait de glisser et de chuter dans un escalier après avoir manqué une marche constituent des facteurs extraordinaires extérieurs résultant d'un mouvement non coordonné (RAMA 2004 n°U 502 p. 184 consid. 4.1, RAMA 1999 n°U 345 p. 422 consid. 2b). L’intimé était dès lors tenu de prendre en charge les suites de cet événement, ce qu’il a d’ailleurs fait jusqu’au retour à une capacité de travail pleine et entière le 23 novembre 2009, puisque l’origine exclusivement dégénérative des lésions n’était pas manifeste. b. Il convient à présent de déterminer si ce retour à une capacité de travail pleine et entière – synonyme de fin du versement des indemnités journalières – doit être considéré comme une clôture du cas et la reprise du traitement le 20 janvier 2010 comme une rechute. Force est de constater qu’il n’y a pas eu, dans ce bref intervalle, de décision de clôture du cas ou de communication similaire et qu’il n’est ni contestable ni contesté que le recourant ait continué à souffrir des mêmes symptômes que ceux apparus immédiatement après la chute du 9 juillet 2009, ce que confirme le traitement médical repris le 20 janvier 2010, peu de temps après une recrudescence des douleurs à la hanche. Dans ces circonstances, il convient de considérer ces événements comme formant un tout durant l’intervalle évoqué, de sorte que le droit aux prestations doit être examiné à la lumière de l’événement initial du 9 juillet 2009 et non d’une rechute. c. Se fondant sur l’avis de l’expert K______, l’intimée a refusé de prendre en charge les prestations d’assurance à partir du 20 janvier 2010, motif pris que le statu quo sine avait été atteint fin 2009. Selon cet expert, la pathologie des fessiers était vraisemblablement antérieure à la chute et n’avait donc pas été provoquée mais tout au plus révélée par cette dernière. En réponse à l’argumentation nouvelle du recourant, développée dans sa réplique du 5 février 2015, selon laquelle le cas devait être envisagé sous l’angle de lésions corporelles assimilées à un accident, l’intimée a confié au Dr L______ le soin de déterminer si l’on était en présence d’une déchirure des tendons au sens de l’art. 9 al. 2 OLAA, plus précisément si une désinsertion-réinsertion équivalait à une déchirure du tendon au sens de cette disposition et pouvait être considérée comme une séquelle tardive de la chute du 9 juillet 2009. Selon ce médecin-conseil, la désinsertion des tendons ne serait pas due à la chute du 9 juillet 2009, elle serait uniquement la conséquence du mode opératoire choisi par le Dr B______ le 6 janvier 2009, soit la pose de la PTH « par voie postérieure ». Dans la mesure où cette appréciation médicale est la seule à ne pas mettre en balance une atteinte dégénérative d’une part et traumatique d’autre part et qu’elle est également la seule à établir une relation de causalité, qui plus est au degré de la haute vraisemblance, entre la désinsertion de la partie antérieure du moyen fessier et le mode opératoire choisi par le Dr B______, il convient d’en apprécier d’emblée la valeur probante. Force est de relever en premier lieu que le Dr L______ fonde son raisonnement sur des prémisses qu’on ne retrouve nulle part dans l’anamnèse. Aucun de ses confrères ne fait état d’une pose de la PTH par voie postérieure. Au contraire, les Drs K______ et J______ mentionnent tous deux un abord chirurgical par la « voie antérolatérale » – ou désignent cette dernière par son synonyme : « voie transglutéale » (cf. à ce sujet la page internet suivante, consultée en cours de rédaction du présent arrêt : http://www.chirurgie-toulouse.fr/index.php/hanche/les-protheses/protheses-hanche/techniques-operatoires/voie-antero-laterale ). Non content de fonder entièrement ses conclusions sur une hypothèse factuelle non étayée, le Dr L______ peine également à convaincre de l’existence d’une désinsertion tendineuse imputable au mode opératoire mis en œuvre le 6 janvier 2009, ce d’autant qu’il ne motive pas sérieusement son appréciation et qu’il s’abstient de prendre position sur les autres rapports versés au dossier. En effet, le Dr F______ a expressément démenti le 7 décembre 2010 avoir suggéré qu’une erreur médicale ait pu être commise par le Dr B______, précisant que la désinsertion du tendon petit fessier était couramment pratiquée lors de la voie d’abord pour prothèse totale de la hanche. À cet égard, le Dr I______ a même précisé que l’intervention avait été effectuée lege artis (pièce 51 recourant, p. 3 avant-dernier paragraphe). Quant au Dr K______, s’il a certes indiqué que la voie d’abord antérolatérale comportait un risque d’atteinte neurologique pouvant aboutir à une dégénérescence graisseuse après environ six mois, il n’a cependant pas été jusqu’à prétendre qu’une atteinte neurologique s’était produite lors de l’intervention du 6 janvier 2009. Au contraire, il a souligné que le recourant présentait une atrophie graisseuse des deux grands fessiers, « prouvant qu’un processus chronique est présent des deux côtés » (cf. pièce 71 recourant, p. 24, avant-dernier paragraphe). Pour sa part, le Dr J______ a estimé qu’il n’était pas impossible que « l’abord chirurgical transglutéal ait provoqué cette clinique [sic] avec un signe de Trendelenburg positif, une boiterie de Duchenne. Cependant, [le recourant] ne présentait, avant la chute, aucun signe pouvant suspecter une désinsertion du moyen et du petit fessiers » (cf. pièce 62 recourant, p. 8, dernier paragraphe). On relèvera enfin que selon les observations des Drs I______ et J______, l’état de cicatrisation de la fixation postopératoire devait être d’assez bonne qualité pour permettre un résultat jugé excellent et que le recourant avait repris toutes ses activités, non seulement professionnelles mais également des loisirs tels que le jardinage, la natation, le vélo et la moto (cf. pièces 51, p. 3 et 62, p. 8 recourant). Au regard de ces éléments, qui ne permettent pas de retenir, au degré de la vraisemblance prépondérante, la réalisation d’un risque opératoire – et encore moins la commission d’une erreur médicale grossière et extraordinaire (cf. ci-dessus : consid. 5a/bb) –, un lien de causalité entre l’abord chirurgical choisi et les désinsertions tendineuses constatées plus d’un an après l’intervention litigieuse n’est pas donné non plus. Partant, il convient d’écarter l’appréciation du Dr L______ qui s’avère dépourvue de toute valeur probante. Par conséquent, c’est à la lumière des autres rapports médicaux qu’il y a lieu de déterminer si la chute du 9 juillet 2009 déployait encore ses effets au-delà de la fin de l’année 2009. À cet égard, il ressort des conclusions des Dr F______ et K______ et des précisions apportées par ce dernier le 7 mars 2014 que si la causalité naturelle entre les atteintes constatées et l’événement du 9 juillet 2009 était possible, les désinsertions tendineuses avaient plus vraisemblablement une origine dégénérative, l’expert K______ allant jusqu’à dire que la chute les avait tout au plus révélées mais ne les avait pas provoquées, tout en concédant « un doute existant » (pièce 71 recourant, p. 26). Les arguments développés par ces deux experts ne sont toutefois pas suffisants pour conduire à la négation du droit aux prestations en faveur du recourant, car la question déterminante n’est pas de savoir si les lésions subies revêtent, au degré de la vraisemblance prépondérante, une origine dégénérative – par opposition à une origine accidentelle – mais si cette origine est exclusivement dégénérative (arrêts du Tribunal fédéral 8C_698/2007 du 27 octobre 2008 consid. 5 ; 8C_357/2007 du 31 janvier 2008 consid. 5 ; arrêt du Tribunal fédéral des assurances U 162/06 du 10 avril 2007 consid. 5.2.1). En effet, au regard de la jurisprudence mentionnée ci-dessus au consid. 6c, il ne suffit pas, dans le cas d’une lésion assimilée à un accident au sens de l’art. 9 al. 2 OLAA, qu’une atteinte dégénérative ait vraisemblablement exercé une influence déterminante sur la survenance des lésions constatées. L’origine maladive ou dégénérative des lésions doit être manifeste pour exclure toute cause accidentelle. Or, on ne peut déduire ni des conclusions du Dr F______ ni de celles du Dr K______ que les lésions constatées seraient imputables à une maladie ou à des phénomènes dégénératifs, à l’exclusion de toute cause accidentelle, que ce soit pour la période ayant immédiatement suivi la chute du 9 juillet 2009 ou celle postérieure au 31 décembre 2009. Ainsi, la question de savoir si le recourant présentait ou non des lésions dégénératives préexistantes à l’événement accidentel du 9 juillet 2009 peut rester ouverte. Par ailleurs, le Dr K______ ne fait état d’aucun élément qui pourrait fonder un retour au statu quo quatre, respectivement cinq mois après l’accident, si ce n’est qu’une contusion simple sur un état pathologique préexistant se guérit « logiquement » dans un délai dépassant rarement trois à quatre mois. Il indique certes que le recourant présente une atrophie graisseuse des deux grands fessiers, à droite comme à gauche. Lors de l’examen clinique du recourant, il mentionne toutefois une grande différence entre les deux hanches, le signe de Trendelenburg étant positif à droite avec présence d’une nette atrophie de la fesse droite par rapport au côté gauche et une fatigabilité plus importante et plus rapide à droite qu’à gauche en cas d’appui unipodal et ce, plus de deux ans après la seconde intervention du Dr B______ (cf. pièce 71 recourant, p. 17). Cette circonstance ne tend donc pas à démontrer une situation de statu quo sine en ce qui concerne les lésions à la hanche droite, en tout cas pas de manière suffisante pour qu’une telle situation puisse être tenue pour clairement établie dès le 1 er janvier 2010. Au vu de ce qui précède, il appartient à l’intimée de prendre en charge les suites de l’événement du 9 juillet 2009 et d’allouer ses prestations au-delà du 31 décembre 2009.</w:t>
      </w:r>
    </w:p>
    <w:p>
      <w:r>
        <w:rPr>
          <w:b/>
        </w:rPr>
        <w:t>E. 13</w:t>
      </w:r>
    </w:p>
    <w:p>
      <w:r>
        <w:t>La recourante conclut, pour le surplus, au paiement d'intérêts moratoires de 5% l’an depuis la date d’exigibilité de chaque prestation. L’art. 26 al. 2 LPGA prévoit que des intérêts moratoires sont dus pour toute créance de prestations d’assurances sociales à l’échéance d’un délai de vingt-quatre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 OPGA ; RS 830.11).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(art. 7 al. 2 OPGA). L'obligation de payer des intérêts moratoires commence vingt-quatre mois après la naissance du droit en tant que tel pour l'ensemble des prestations courues jusque-là, et non pas seulement deux ans après l'exigibilité de chaque prestation (ATF 133 V 9 , consid. 3.6). Le délai de vingt-quatre mois à compter de la naissance du droit équivaut à une prescription minimale. Ainsi, lorsque des prestations sont versées plus de douze mois après que l’assuré a fait valoir son droit, des intérêts moratoires ne sont pas dus si en même temps, un délai d’au moins vingt-quatre mois ne s’est pas écoulé depuis la naissance du droit (Ueli KIESER, ATSG-Kommentar, 3 ème éd. 2015, n. 49 ad art. 26 LPGA). L’obligation de verser des intérêts moratoires est liée à l’existence d’une prestation principale et a, par conséquent, un caractère accessoire. Puisque les autres conditions énumérées à l’art. 26 al. 2 LPGA doivent être remplies, le droit à des intérêts moratoires doit être qualifié de relation juridique spécifique. Sous réserve d’une extension de l’objet de la contestation, elle ne peut être examinée dans la procédure de recours de première instance que si l’administration a statué sur cette question (objet de la contestation) et que sa décision a été attaquée sur ce point (objet du litige ; ATF 125 V 413 ; Arrêt du Tribunal fédéral des assurances I 73/05 du 13 septembre 2006, consid. 7.1). En l'espèce, bien que l'intimée n'ait pas statué sur ce point, il y a lieu d'étendre l'objet de la contestation à cette question, puisque, d'une part, l'obligation de verser des intérêts moratoires est en relation étroite avec le droit aux prestations, de sorte qu'on peut parler d'un même ensemble de faits, et d'autre part, l'intimée a eu la possibilité de s'exprimer à ce sujet dans ses écritures (Arrêt du Tribunal fédéral des assurances I 493/05 du 22 décembre 2005, consid. 5), dès lors qu'il s'agissait de l'une des conclusions du recourant. En l’occurrence, le droit aux indemnités journalières est né le 25 janvier 2010 et le recourant a fait valoir pour la première fois son droit aux prestations le 19 octobre 2010. Dans la mesure où le délai relatif de douze mois était déjà échu avant celui de vingt-quatre mois à compter de la naissance du droit, l’intimée doit au recourant un intérêt moratoire de 5% l’an dès le 25 janvier 2012 sur l’ensemble des indemnités journalières dues entre le 25 janvier 2010 et le 24 janvier 2012 (cf. ATF 133 V 9 précité). Quant aux indemnités journalières subséquentes, elles portent également intérêt à 5% l’an, mais celui-ci doit être calculé « par mois sur les prestations dont le droit est échu jusqu'à la fin du mois précédent » (art. 7 al. 2 OPGA). Les mêmes principes s’appliquent mutatis mutandis aux frais médicaux (cf. arrêt du Tribunal fédéral 9C_707/2011 du 20 février 2012 consid. 5), sous réserve que la caisse-maladie du recourant n’ait pas pris provisoirement en charge le cas et que de ce fait, les prestations soient versées rétroactivement à cette dernière (art. 26 al. 4 let. a LPGA). Les éléments versés au dossier ne permettent toutefois pas de connaître à quelle date les différentes prestations de soins liées à l’événement du 9 juillet 2009 ont été facturées au recourant et/ou si elles ont été prises en charge par cette caisse-maladie. Aussi incombe-t-il à l’intimée de faire la lumière à ce sujet dans le cadre du calcul du droit aux prestations revenant au recourant, au besoin avec le concours de celui-ci (art. 28 al. 2 et 43 al. 3 LPGA).</w:t>
      </w:r>
    </w:p>
    <w:p>
      <w:r>
        <w:rPr>
          <w:b/>
        </w:rPr>
        <w:t>E. 14</w:t>
      </w:r>
    </w:p>
    <w:p>
      <w:r>
        <w:t>Au vu de ce qui précède, le recours est admis au sens des considérants et la décision du 28 août 2014 annulée. Le recourant obtenant gain de cause, une indemnité de CHF 3'000.- lui sera accordée à titre de participation à ses frais et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