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A/2939/2022 vom 21. September 2018</w:t>
      </w:r>
    </w:p>
    <w:p>
      <w:r>
        <w:t>GE Cour de justice, 2018-09-21, FR</w:t>
      </w:r>
    </w:p>
    <w:p>
      <w:r>
        <w:rPr>
          <w:b/>
        </w:rPr>
        <w:t xml:space="preserve">Quelle: </w:t>
      </w:r>
      <w:r>
        <w:t>https://mcp.opencaselaw.ch/entscheid/ge_gerichte_A_2939_2022</w:t>
      </w:r>
    </w:p>
    <w:p>
      <w:r>
        <w:t>FR: GE_GERICHTE A/2939/2022 du 21 septembre 2018</w:t>
      </w:r>
    </w:p>
    <w:p>
      <w:r>
        <w:t>IT: GE_GERICHTE A/2939/2022 del 21 settembre 2018</w:t>
      </w:r>
    </w:p>
    <w:p>
      <w:pPr>
        <w:pStyle w:val="Heading2"/>
      </w:pPr>
      <w:r>
        <w:t>Erwägungen</w:t>
      </w:r>
    </w:p>
    <w:p>
      <w:r>
        <w:rPr>
          <w:b/>
        </w:rPr>
        <w:t>E. 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l’office cantonal de l’assurance-invalidité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2</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![endif]&gt;![if&gt; Il y a lieu de se fonder sur une grille d’analyse comportant divers indicateurs qui rassemblent les éléments essentiels propres aux troubles de nature psychosomatique (ATF 141 V 281 consid. 4). -          Catégorie « Degré de gravité fonctionnel » (ATF 141 V 281 consid. 4.3),![endif]&gt;![if&gt; A.    Complexe « Atteinte à la santé » (consid. 4.3.1)![endif]&gt;![if&gt; Expression des éléments pertinents pour le diagnostic (consid. 4.3.1.1), succès du traitement et de la réadaptation ou résistance à cet égard (consid. 4.3.1.2), comorbidités (consid. 4.3.1.3). B.     Complexe « Personnalité » (diagnostic de la personnalité, ressources personnelles; consid. 4.3.2) ![endif]&gt;![if&gt; C.     Complexe « Contexte social » (consid. 4.3.3)![endif]&gt;![if&gt; -          Catégorie « Cohérence » (aspects du comportement; consid. 4.4) ![endif]&gt;![if&gt;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3</w:t>
      </w:r>
    </w:p>
    <w:p>
      <w:r>
        <w:t>En l'occurrence, l'intimé s'est fondé sur le pronostic des experts du CEMed pour nier une incapacité de travail durable dans une activité adaptée aux limitations fonctionnelles au niveau physique. Au moment de leur examen, les experts ont toutefois estimé que l'incapacité de travail était totale.![endif]&gt;![if&gt; Selon le recourant, le pronostic des experts ne s'est pas réalisé, ce qui est confirmé par les Drs G______ et H______ qui ont évalué sa capacité de travail à 40% dans une activité adaptée aux limitations physiques. De l'avis du Dr G______, son état s'est en outre aggravé depuis l'expertise du CEMed. Les conclusions de l'expertise étant contestée par les médecins traitants du recourant et en l'absence de contrôle de l'évolution de l'état de santé du recourant depuis l'expertise, afin de s'assurer que les pronostics étaient justes, il s'avère nécessaire de soumettre le recourant à une expertise psychiatrique judiciaire.</w:t>
      </w:r>
    </w:p>
    <w:p>
      <w:r>
        <w:rPr>
          <w:b/>
        </w:rPr>
        <w:t>E. 4</w:t>
      </w:r>
    </w:p>
    <w:p>
      <w:r>
        <w:t>En l'absence d'objections des parties, cette expertise sera confiée au Dr I______.![endif]&gt;![if&gt;</w:t>
      </w:r>
    </w:p>
    <w:p>
      <w:r>
        <w:rPr>
          <w:b/>
        </w:rPr>
        <w:t>E. 5</w:t>
      </w:r>
    </w:p>
    <w:p>
      <w:r>
        <w:t>Diagnostics psychiatriques (dans une classification internationale reconnue) ? ![endif]&gt;![if&gt;</w:t>
      </w:r>
    </w:p>
    <w:p>
      <w:r>
        <w:rPr>
          <w:b/>
        </w:rPr>
        <w:t>E. 6</w:t>
      </w:r>
    </w:p>
    <w:p>
      <w:r>
        <w:t>Quelles sont les limitations fonctionnelles au niveau psychique ? ![endif]&gt;![if&gt;</w:t>
      </w:r>
    </w:p>
    <w:p>
      <w:r>
        <w:rPr>
          <w:b/>
        </w:rPr>
        <w:t>E. 7</w:t>
      </w:r>
    </w:p>
    <w:p>
      <w:r>
        <w:t>Quelle est la capacité de travail de l'expertisé au niveau psychique et comment a-t-elle évoluée depuis l'expertise du CEMed du 13 avril 2021 ? Y-a-t-il une diminution de rendement pour des raisons psychiques ? ![endif]&gt;![if&gt;</w:t>
      </w:r>
    </w:p>
    <w:p>
      <w:r>
        <w:rPr>
          <w:b/>
        </w:rPr>
        <w:t>E. 8</w:t>
      </w:r>
    </w:p>
    <w:p>
      <w:r>
        <w:t>Le pronostic émis par les experts du CEMed quant à la capacité de travail s'est-il réalisé au niveau psychique et, dans la négative, pourquoi n'était-ce pas le cas ? ![endif]&gt;![if&gt;</w:t>
      </w:r>
    </w:p>
    <w:p>
      <w:r>
        <w:rPr>
          <w:b/>
        </w:rPr>
        <w:t>E. 9</w:t>
      </w:r>
    </w:p>
    <w:p>
      <w:r>
        <w:t>Quel est le degré de gravité des troubles psychiques diagnostiqués (faible, moyen, grave) ? ![endif]&gt;![if&gt;</w:t>
      </w:r>
    </w:p>
    <w:p>
      <w:r>
        <w:rPr>
          <w:b/>
        </w:rPr>
        <w:t>E. 10</w:t>
      </w:r>
    </w:p>
    <w:p>
      <w:r>
        <w:t>Est-ce que le tableau clinique est cohérent, compte tenu des diagnostics retenus ? ![endif]&gt;![if&gt;</w:t>
      </w:r>
    </w:p>
    <w:p>
      <w:r>
        <w:rPr>
          <w:b/>
        </w:rPr>
        <w:t>E. 11</w:t>
      </w:r>
    </w:p>
    <w:p>
      <w:r>
        <w:t>Y a-t-il une exagération des symptômes ou des discordances entre les plaintes et le comportement, entre les limitations alléguées et ce qui est connu des activités de la vie quotidienne de la personne expertisée ? En particulier, les limitations au niveau des différentes activités sont-elles uniformes dans tous les domaines (professionnel et personnel) ? ![endif]&gt;![if&gt;</w:t>
      </w:r>
    </w:p>
    <w:p>
      <w:r>
        <w:rPr>
          <w:b/>
        </w:rPr>
        <w:t>E. 12</w:t>
      </w:r>
    </w:p>
    <w:p>
      <w:r>
        <w:t>Quelles sont les ressources de l'expertisé sur le plan psychique, social et familial ? ![endif]&gt;![if&gt;</w:t>
      </w:r>
    </w:p>
    <w:p>
      <w:r>
        <w:rPr>
          <w:b/>
        </w:rPr>
        <w:t>E. 13</w:t>
      </w:r>
    </w:p>
    <w:p>
      <w:r>
        <w:t>Quelle est la compliance de l'expertisé ? ![endif]&gt;![if&gt;</w:t>
      </w:r>
    </w:p>
    <w:p>
      <w:r>
        <w:rPr>
          <w:b/>
        </w:rPr>
        <w:t>E. 14</w:t>
      </w:r>
    </w:p>
    <w:p>
      <w:r>
        <w:t>Le traitement est-il adéquat ? Le cas échéant, quelles modifications du traitement proposez-vous ? ![endif]&gt;![if&gt;</w:t>
      </w:r>
    </w:p>
    <w:p>
      <w:r>
        <w:rPr>
          <w:b/>
        </w:rPr>
        <w:t>E. 15</w:t>
      </w:r>
    </w:p>
    <w:p>
      <w:r>
        <w:t>Quel est votre pronostic ? ![endif]&gt;![if&gt; E. Invite l’expert à déposer son rapport en trois exemplaires dans les meilleurs délais auprès de la chambre de céans. F. Réserve le fond ainsi que le sort des frais jusqu’à droit jugé au fond. La greffière Nathalie LOCHER La présidente suppléante Maya CRAMER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