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A/2933/2005 vom 28. Februar 2005</w:t>
      </w:r>
    </w:p>
    <w:p>
      <w:r>
        <w:t>GE Cour de justice, 2005-02-28, FR</w:t>
      </w:r>
    </w:p>
    <w:p>
      <w:r>
        <w:rPr>
          <w:b/>
        </w:rPr>
        <w:t xml:space="preserve">Quelle: </w:t>
      </w:r>
      <w:r>
        <w:t>https://mcp.opencaselaw.ch/entscheid/ge_gerichte_A_2933_2005</w:t>
      </w:r>
    </w:p>
    <w:p>
      <w:r>
        <w:t>FR: GE_GERICHTE A/2933/2005 du 28 février 2005</w:t>
      </w:r>
    </w:p>
    <w:p>
      <w:r>
        <w:t>IT: GE_GERICHTE A/2933/2005 del 28 febbraio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20.09.2005 A/2933/2005</w:t>
      </w:r>
    </w:p>
    <w:p>
      <w:r>
        <w:t>A/2933/2005 ATAS/782/2005 du 20.09.2005 ( LAA ) , RETIRE RÉPUBLIQUE ET CANTON DE GENÈVE POUVOIR JUDICIAIRE A/2933/2005 ATAS/782/2005 ARRET DU TRIBUNAL CANTONAL DES ASSURANCES SOCIALES Chambre 1 du 20 septembre 2005 En la cause MUTUEL ASSURANCES, ayant son siège rue du Nord 5 à Martigny recourant contre SUVA, CAISSE NATIONALE SUISSE D’ASSURANCE EN CAS D’ACCIDENTS, ayant son siège Fluhmattstrasse 1 à Lucerne intimée Attendu en fait que par décision du 28 février 2005, la SUVA a reconnu le droit de Monsieur T__________ à une rente d’invalidité de 20% dès le 1 er octobre 2004, refusé tout droit à des prestations pour les troubles psychogènes et versé une indemnité pour atteinte à l’intégrité de 21'360 fr., fondée sur un taux de 20% ; Que par décision du 26 juillet 2005, la SUVA a rejeté l’opposition formée par l’intéressé, représenté par Fortuna, compagnie d’assurance de protection juridique ; Que le groupe MUTUEL a informé la SUVA le 28 juillet 2005 qu’il entendait « faire provisoirement opposition à sa décision » ; Que la SUVA a transmis au Tribunal de céans ce courrier comme objet de sa compétence ; Que le 29 août 2005, le groupe MUTUEL a communiqué au Tribunal de céans copie de la lettre qu’il avait adressée à la SUVA, aux termes de laquelle « nous retirons notre opposition provisoire du 28 juillet 2005 et nous prendrons en charge les frais médicaux relatifs à cette affection selon la LAMal ». Considérant en droit que la loi genevoise sur l’organisation judiciaire (LOJ) a été modifiée et a institué, dès le 1 er août 2003, un Tribunal cantonal des assurances sociales, composé de 5 juges, dont un président et un vice-président, 5 suppléants et 16 juges assesseurs (art. 1 let. r et 56 T LOJ) 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 ; Que conformément à l'art. 56 V al. 1 let. a ch. 5 LOJ, le Tribunal cantonal des assurances sociales connaît en instance unique des contestations prévues à l’article 56 de la loi fédérale sur la partie générale du droit des assurances sociales du 6 octobre 2000, entrée en vigueur le 1er janvier 2003 (LPGA), qui sont relatives à la loi fédérale sur l’assurance-accident du 20 mars 1981 (LAA) ; Que sa compétence pour juger du cas d’espèce est ainsi établie ; Que le recours déposé par le groupe MUTUEL le 28 juillet 2005 a été retiré ; Qu’il convient d’en prendre acte et de rayer la cause du rôle ; PAR CES MOTIFS, LE TRIBUNAL CANTONAL DES ASSURANCES SOCIALES : Statuant (conformément à la disposition transitoire de l’art. 162 LOJ) 1 A la forme : Déclare le recours recevable. Au fond : Prend acte du retrait du recours. Raye la cause du rôle. Dit que la procédure est gratuite. La greffière: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