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A/2930/2024 vom 14. Juli 2025</w:t>
      </w:r>
    </w:p>
    <w:p>
      <w:r>
        <w:t>GE Cour de justice, 2025-07-14, FR</w:t>
      </w:r>
    </w:p>
    <w:p>
      <w:r>
        <w:rPr>
          <w:b/>
        </w:rPr>
        <w:t xml:space="preserve">Quelle: </w:t>
      </w:r>
      <w:r>
        <w:t>https://mcp.opencaselaw.ch/entscheid/ge_gerichte_A_2930_2024</w:t>
      </w:r>
    </w:p>
    <w:p>
      <w:r>
        <w:t>FR: GE_GERICHTE A/2930/2024 du 14 juillet 2025</w:t>
      </w:r>
    </w:p>
    <w:p>
      <w:r>
        <w:t>IT: GE_GERICHTE A/2930/2024 del 14 luglio 2025</w:t>
      </w:r>
    </w:p>
    <w:p>
      <w:pPr>
        <w:pStyle w:val="Heading2"/>
      </w:pPr>
      <w:r>
        <w:t>Erwägungen</w:t>
      </w:r>
    </w:p>
    <w:p>
      <w:r>
        <w:rPr>
          <w:b/>
        </w:rPr>
        <w:t>E. 2</w:t>
      </w:r>
    </w:p>
    <w:p>
      <w:r>
        <w:t>) la valeur vénale de l’appartement. m. Invité à communiquer au SPC le montant des RIP – réglés par le Service de l’assurance maladie (ci-après : SAM) – dont le SPC réclamerait la restitution à l’intéressé pour la période du 1 er juin 2017 au 31 décembre 2020 et du 1 er janvier au 31 mai 2024, le SAM a indiqué que les subsides alloués par le SAM s’élevaient à CHF 2'993.70 du 1 er juin au 31 décembre 2017, CHF 5'379.60 du 1 er janvier au 31 décembre 2018, CHF 5'569.20 du 1 er janvier au 31 décembre 2019, CHF 4'467.60 du 1 er janvier au 31 décembre 2020 et CHF 2'759.- du 1 er janvier au 31 mai 2024, soit CHF 21'109.10 au total. n. Par courrier du 4 juin 2024, le SPC a informé l’intéressé de la reprise de son droit aux PC avec effet au 1 er juin 2017. À cet envoi étaient jointes : -          une décision de PC du 29 mai 2024, recalculant le droit aux PC de l’intéressé du 1 er juin 2017 au 31 mai 2024. La somme des PC versées sur cette période représentait un montant de CHF 71'378.-. Toutefois, selon les plans de calculs remaniés à la lumière d’une fortune immobilière de CHF 181'198.45 en 2017, CHF 197'139.40 en 2018, CHF 183'429.- en 2019, CHF 171'633.10 en 2020, CHF 155'426.40 en 2021, CHF 146'900.15 en 2022 et CHF 128'951.95 en 2023, l’intéressé n’avait droit à aucune prestation, hormis CHF 108.- (soit CHF 9.- par mois) au titre des PCF du 1 er janvier au 31 décembre 2023. Pour la période du 1 er janvier au 31 mai 2024, la décision en question ne comportait pas de plans de calcul, au motif que la fortune nette était supérieure aux seuils prévus par la législation. En conséquence, le solde rétroactif en faveur du SPC se montait à CHF 71'270, soit CHF 71'378.- sous déduction de CHF 108.- ; -          une décision de remboursement des RIP du 29 mai 2024, portant sur la somme de CHF 21’109.10 ; -          une décision de restitution de frais de maladie et d’invalidité du 4 juin 2024, portant sur la somme de CHF 513.75 (frais dentaires en 2018 et 2019). o. Le 10 juillet 2024, l’intéressé, assisté par le Service de cohésion sociale (SCS) de la Ville de Vernier, a formé opposition à cette décision. En 2013, son bien immobilier avait été évalué à « HUF 19’000'000.- » ( recte : HUF 19'950’000) par un organisme d’État. Pour se conformer à son obligation de collaborer dans le cadre de la révision périodique de son dossier, initiée en août 2023 par le SPC, il s’était rendu en Hongrie et avait sollicité une nouvelle évaluation, effectuée cette fois par un organisme privé, l’État ayant délégué cette démarche. Cette fois-ci, la valeur du bien était passée à HUG 51'800'000.-, soit à CHF 128'000.- environ. De ce fait, il sortait désormais des barèmes PC. Même si tous les éléments précités figuraient au dossier, l’intéressé n’en contestait pas moins les montants variables de la fortune immobilière indiqués dans le calcul rétroactif et qui étaient tous plus élevés que cette dernière évaluation (CHF 181'198.- en 2017, CHF 197'139.- en 2018, etc.). Aussi pouvait-on partir du postulat que l’intéressé était « victime de la spéculation immobilière pratiquée par les agences immobilières privées » et qu’il était étrange que la valeur de son bien ait plus que doublé depuis 2013. En conséquence, l’intéressé a demandé que les calculs des années antérieures soient corrigés à l’aune de la valeur du bien immobilier « telle que correspondant au document officiel de 2023 » (sic), voire qu’il soit tenu compte de manière progressive de cette valeur de 2017 à 2024, afin de ne pas être rendu tributaire de la spéculation dont son appartement faisait l’objet, étant relevé pour le surplus que les photos figurant au rapport d’expertise immobilière attestaient de l’état d’insalubrité de ce bien. p. Par décision du 15 août 2024, le SPC a partiellement admis l’opposition et procédé aux modifications suivantes : entre la valeur vénale du bien en 2013 (HUF 19’950'000.-) et celle en 2024 (HUF 51'800'000.-), le SPC a appliqué une augmentation linéaire par paliers de HUF 2'895'454.55 annuels entre ces deux dates d’estimation. Dans un deuxième temps, le SPC a appliqué les taux de conversion annuels (HUF/CHF) à la valeur du bien entre 2017 à 2024, de manière à déterminer sa valeur vénale en francs suisses, cette dernière servant également de base pour le calcul de la valeur locative (4.5% de la valeur vénale) et des frais d’entretien (20% de la valeur locative). Année Taux de Conversion (HUF/CHF) Valeur vénale (HUF) Valeur vénale (CHF) Valeur locative (CHF) Frais d’entretien (CHF) 2013 19’950’000.00 2014 22’845’454.55 2015 25’740’909.10 2016 28’636’363.65 2017 0.0035 31’531’818.20 110’363.36 4’966.26 993.25 2018 0.0038 34’427’272.75 130’823.64 5’887.06 1’177.41 2019 0.0035 37’322’727.30 130’629.55 5’878.33 1’175.67 2020 0.0033 40’218’181.85 132’720.00 5’972.40 1’194.48 2021 0.0030 43’113’636.40 129’340.91 5’820.34 1’164.07 2022 0.0028 46’009’090.95 128’825.45 5’797.15 1’159.43 2023 0.0025 48’904’545.50 122’261.36 5’501.76 1’100.35 2024 0.0024 51’800’000.00 124’320.00 5’594.40 1’118.88 En tenant compte de ces modifications, les plans de calculs joints à la décision sur opposition montraient que l’intéressé n’avait droit à aucune prestation hormis des PCF pour CHF 1'302.- (soit sept mensualités de CHF 186.-) du 1 er juin au 31 décembre 2017 et pour CHF 1'020.- (soit douze mensualités de CHF 85.-) du 1 er janvier au 31 décembre 2023. En conséquence, sur le total des PC déjà versées du 1 er juin 2017 au 31 mai 2024 (CHF 71'378.-), CHF 2'322.- étaient dus à l’intéressé. En comparaison avec la décision de restitution des PC du 29 mai 2024, la dette de l’intéressé s’en trouvait ainsi réduite à CHF 69'056.-. Concernant les RIP, la demande en remboursement du montant de CHF 21'109.10 était ramenée à CHF 2'759.- et ne concernait plus que l’année 2024 (période du 1 er janvier au 31 mai). S’agissant enfin des frais médicaux, la demande en remboursement du montant de CHF 513.75 était annulée. C. a. Le 10 septembre 2024, l’assuré a saisi la chambre des assurances sociales de la Cour de justice d’un recours contre cette décision, concluant en substance à son annulation. À l’appui de sa position, il a indiqué que, même si le SPC avait partiellement tenu compte des arguments soulevés dans l’opposition en lissant le calcul rétroactif, il n’en demeurait pas moins que son appartement sis à Budapest était « insalubre et donc mal habitable » comme en attestaient les photos figurant au rapport d’expertise du 7 mars 2024. Cela justifiait une forte réduction de sa valeur locative. Quant au montant dont la restitution lui était réclamée, il était très important, alors qu’il avait « toujours été transparent et […] répondu en temps et en heure à chaque demande du SPC ». b. Par réponse du 9 octobre 2024, l’intimé a conclu au rejet du recours. En tant que le recourant contestait la valeur locative du bien sans produire le moindre document probant à ce sujet (rapport d’expertise, etc.), il ne pouvait être suivi. En effet, les photos auxquelles il se référait – de petit format et de mauvaise qualité – ne justifiaient pas que l’on s’écartât de la valeur locative figurant dans les plans de calcul de la décision litigieuse, correspondant à 4.5% de la valeur vénale du bien. Enfin, l’intimé avait appliqué un délai absolu de péremption de sept ans, étant donné que le recourant ne l’avait pas spontanément informé de la forte augmentation de la valeur de son bien depuis 2013, violant ainsi son obligation de renseigner. c. Le 14 octobre 2024, la chambre de céans a transmis une copie de cette écriture au recourant et lui a imparti un délai pour faire parvenir sa réplique. d. Les 6 et 7 novembre 2024, le recourant a déposé une liasse de pièces relatives à une procédure l’ayant opposé à l’office AI du canton de Genève et s’étant conclue par un arrêt du Tribunal des assurances I 857/05 du 6 décembre 2006. e. Par courrier du 21 novembre 2024, l’intimé a fait savoir qu’il n’avait pas d’observations complémentaires à formuler. f. Sur quoi, la cause a été gardée à juger. g. Les autres faits seront mentionnés, si nécessaire, dans la partie « en droit » du présent arrêt. EN DROIT 1.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délai de recours est de 30 jours (art. 60 al. 1 LPGA ; art. 62 al. 1 LPA ; art. 9 de la loi sur les prestations fédérales complémentaires à l’assurance-vieillesse et survivants et à l’assurance-invalidité du 14 octobre 1965 [LPFC ‑ J 4 20] ; art. 43 LPCC). Déposé le 11 septembre 2024 au greffe de la chambre de céans, le recours a été interjeté en temps utile. Celui-ci respecte également les exigences de forme prévues par l’art. 61 let. b LPGA (cf. aussi l’art. 89B LPA), de sorte qu’il est recevable.</w:t>
      </w:r>
    </w:p>
    <w:p>
      <w:r>
        <w:rPr>
          <w:b/>
        </w:rPr>
        <w:t>E. 2.1</w:t>
      </w:r>
    </w:p>
    <w:p>
      <w:r>
        <w:t>Des modifications législatives et réglementaires sont entrées en vigueur au 1 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 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2.2</w:t>
      </w:r>
    </w:p>
    <w:p>
      <w:r>
        <w:t>En l’occurrence, les calculs comparatifs effectuées le 5 décembre 2020 en prévision de l’entrée en vigueur du nouveau droit montrent que le calcul du montant des PC selon l’ancien droit est plus favorable que celui effectué en application des dispositions entrées en vigueur le 1 er janvier 2021, de sorte que les dispositions applicables seront citées dans leur ancienne teneur pour les faits qui se sont produits jusqu’au 31 décembre 2020. Pour les faits postérieurs à cette date, les dispositions seront citées dans leur nouvelle teneur.</w:t>
      </w:r>
    </w:p>
    <w:p>
      <w:r>
        <w:rPr>
          <w:b/>
        </w:rPr>
        <w:t>E. 3</w:t>
      </w:r>
    </w:p>
    <w:p>
      <w:r>
        <w:t>Le litige concerne le droit de l’intimé de réclamer au recourant la restitution d’une partie des PC octroyées du 1 er juin 2017 au 31 mai 2024 (CHF 69'056.-) ainsi que les subsides d’assurance-maladie pour la période du 1 er janvier au 31 mai 2024 (CHF 2'759.-), soit CHF 71'815.- au total.</w:t>
      </w:r>
    </w:p>
    <w:p>
      <w:r>
        <w:rPr>
          <w:b/>
        </w:rPr>
        <w:t>E. 4</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l’assurance-invalidité (art. 4 al. 1 let. c LPC) ou de l’assurance-vieillesse survivants (art. 4 al. 1 let. a LPC).</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4.2</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Selon l’art. 11 al. 1 LPC, les revenus déterminants comprennent notamment: le produit de la fortune mobilière et immobilière (let. b) et un quinzième de la fortune nette, un dixième pour les bénéficiaires de rentes de vieillesse, dans la mesure où elle dépasse CHF 30'000.- (CHF 37'500.- jusqu’au 31 décembre 2020) pour les personnes seules (let. c).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 ATAS/442/2022 du 18 mai 2022 consid. 6.2 ; ATAS/359/2022 du 21 avril 2022 consid. 8.2 ; ATAS/314/2022 du 7 avril 2022 consid. 5.2). Il suffit que l’assuré puisse effectivement disposer de l’élément de fortune en cause (ATF 146 V 331 consid. 4.1 ; 127 V 248 consid. 4a ; arrêt du Tribunal fédéral 9C_831/2016 du 11 juillet 2017 consid. 5.1 ; 9C_333/2016 du 3 novembre 2016 consid. 4.3.1). Selon l’art. 17 a al. 1 OPC-AVS/AI,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 al. 4 OPC-AVS/AI). L’art. 17 a al. 4 OPC-AVS/AI constitue une dérogation au principe selon lequel la fortune prise en compte doit être évaluée selon les règles de la législation sur l’impôt cantonal direct du canton du domicile (Erwin CARIGIET, Uwe KOCH, Ergänzungsleistungen zur AHV/IV , 3 e éd., 2021, p. 239-240).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 ch. 3445.04 des Directives concernant les prestations complémentaires à l’AVS et à l’AI [DPC]).</w:t>
      </w:r>
    </w:p>
    <w:p>
      <w:r>
        <w:rPr>
          <w:b/>
        </w:rPr>
        <w:t>E. 4.3</w:t>
      </w:r>
    </w:p>
    <w:p>
      <w:r>
        <w:t>Selon l’art. 11 al. 1 let. b LPC, les revenus déterminants comprennent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 revenu déterminant tiré d’un immeuble est celui qui pourrait effectivement être réalisé en cas de location, c’est-à-dire le loyer conforme au marché ( cf .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 ATAS/306/2020 du 27 avril 2020 consid. 6 et les nombreux arrêts cités). En outre, la chambre de céans a également considéré qu’un taux de 5% était admissible ( ATAS/1127/2017 du 11 décembre 2017).</w:t>
      </w:r>
    </w:p>
    <w:p>
      <w:r>
        <w:rPr>
          <w:b/>
        </w:rPr>
        <w:t>E. 5</w:t>
      </w:r>
    </w:p>
    <w:p>
      <w:r>
        <w:t>S’agissant des dépenses, elles comprennent notamment les frais d’entretien des bâtiments et les intérêts hypothécaires, jusqu’à concurrence du rendement brut de l’immeuble (art. 10 al. 3 let. b LPC).</w:t>
      </w:r>
    </w:p>
    <w:p>
      <w:r>
        <w:rPr>
          <w:b/>
        </w:rPr>
        <w:t>E. 5.1</w:t>
      </w:r>
    </w:p>
    <w:p>
      <w:r>
        <w:t>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w:t>
      </w:r>
    </w:p>
    <w:p>
      <w:r>
        <w:rPr>
          <w:b/>
        </w:rPr>
        <w:t>E. 5.2</w:t>
      </w:r>
    </w:p>
    <w:p>
      <w:r>
        <w:t>Pour le canton de Genève, l’art. 20 al. 2 du règlement d’application de la loi sur l’imposition des personnes physiques du 13 janvier 2010 (RIPP - D 3 08.1) –dispose que cette déduction forfaitaire, calculée sur la valeur locative selon l’art. 24 al. 2 de la loi sur l’imposition des personnes physiques du 27 septembre 2009 (LIPP - D 3 08), s’élève à 10% si l’âge du bâtiment au début de la période fiscale est inférieur ou égal à dix ans, et à 20%, si l’âge du bâtiment au début de la période fiscale est supérieur à dix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 consid. 16b).</w:t>
      </w:r>
    </w:p>
    <w:p>
      <w:r>
        <w:rPr>
          <w:b/>
        </w:rPr>
        <w:t>E. 6</w:t>
      </w:r>
    </w:p>
    <w:p>
      <w:r>
        <w:t>S’agissant du taux de conversion applicable pour le calcul de la fortune immobilière et de la valeur locative y relative, il y a lieu d’appliquer les DPC. Le taux de conversion, selon le chiffre 3453.01 DPC, correspond au cours du jour fixé par la Banque centrale européenne (ci-après : BCE).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(notamment ATAS/1146/2019 du 9 décembre 2019).</w:t>
      </w:r>
    </w:p>
    <w:p>
      <w:r>
        <w:rPr>
          <w:b/>
        </w:rPr>
        <w:t>E. 7</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8</w:t>
      </w:r>
    </w:p>
    <w:p>
      <w:r>
        <w:t>Il convient tout d’abord d’examiner si l’intimé a respecté les délais de péremption légaux.</w:t>
      </w:r>
    </w:p>
    <w:p>
      <w:r>
        <w:rPr>
          <w:b/>
        </w:rPr>
        <w:t>E. 8.1</w:t>
      </w:r>
    </w:p>
    <w:p>
      <w:r>
        <w:t>S’agissant des prestations complémentaires fédérales, selon l’art. 25 al. 1, 1 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 anfängliche tatsächliche Unrichtigkeit ; cf . Ueli KIESER, Gabriela RIEMER-KAFKA, Tafeln zum schweizerischen Sozialversicherungsrecht , 5 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Ueli KIESER, ATSG-Kommentar , 4 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8.2</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ou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in ATF 148 V 327 ; 8C_665/2020 du 8 juin 2021 consid. 5.2).</w:t>
      </w:r>
    </w:p>
    <w:p>
      <w:r>
        <w:rPr>
          <w:b/>
        </w:rPr>
        <w:t>E. 8.3</w:t>
      </w:r>
    </w:p>
    <w:p>
      <w:r>
        <w:t>Au plan cantonal, l’art. 24 al. 1, 1 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8.4</w:t>
      </w:r>
    </w:p>
    <w:p>
      <w:r>
        <w:t>Conformément à l’art. 33 de la loi d’application de la loi fédérale sur l’assurance-maladie du 29 mai 1997 (LaLAMal – J 3 05), les subsides indûment touchés doivent être restitués en appliquant par analogie l’art.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9.1</w:t>
      </w:r>
    </w:p>
    <w:p>
      <w:r>
        <w:t>En vertu de l’art. 25 al. 2, 1 ère phr. LPGA (dans sa teneur en vigueur à compter du 1 er janvier 2021), le droit de demander la restitution s’éteint trois ans après le moment où l’institution d’assurance a eu connaissance du fait, mais au plus tard cinq ans après le versement de la prestation. Jusqu’au 31 décembre 2020, l’art. 25 al. 2, 1 ère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w:t>
      </w:r>
    </w:p>
    <w:p>
      <w:r>
        <w:rPr>
          <w:b/>
        </w:rPr>
        <w:t>E. 9.2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9.3</w:t>
      </w:r>
    </w:p>
    <w:p>
      <w:r>
        <w:t>Le délai de péremption absolu de cinq ans commence à courir à la date du versement effectif de la prestation, et non à la date à laquelle elle aurait dû être fournie (ATF 112 V 180 consid. 4a et les références).</w:t>
      </w:r>
    </w:p>
    <w:p>
      <w:r>
        <w:rPr>
          <w:b/>
        </w:rPr>
        <w:t>E. 9.3.1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arrêt du Tribunal fédéral 8C_754/2020 du 11 juin 2021 consid. 5.2).</w:t>
      </w:r>
    </w:p>
    <w:p>
      <w:r>
        <w:rPr>
          <w:b/>
        </w:rPr>
        <w:t>E. 9.3.2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Pour autant,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 139 V 6 consid. 4.1 et les références).</w:t>
      </w:r>
    </w:p>
    <w:p>
      <w:r>
        <w:rPr>
          <w:b/>
        </w:rPr>
        <w:t>E. 10.1</w:t>
      </w:r>
    </w:p>
    <w:p>
      <w:r>
        <w:t>En vertu de l’art. 25 al. 2, 2 ème phr.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10.2</w:t>
      </w:r>
    </w:p>
    <w:p>
      <w:r>
        <w:t>En matière de prestations complémentaires, ce sont principalement les art. 31 LPC (manquement à l’obligation de communiquer), 146 (escroquerie) et 148 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 a CP, qui vise l’obtention illicite de prestations d’une assurance sociale ou de l’aide sociale, il prévoit une peine privative de liberté d’un an au plus ou une peine pécuniaire (al. 1). Dans les cas de peu de gravité, la peine est l’amende (al. 2). Selon l’art. 97 al. 1 CP, l’action pénale se prescrit par trente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 a CP est donc de sept ans, celui de l’infraction visée à l’art. 146 al. 1 CP de quinze ans.</w:t>
      </w:r>
    </w:p>
    <w:p>
      <w:r>
        <w:rPr>
          <w:b/>
        </w:rPr>
        <w:t>E. 11</w:t>
      </w:r>
    </w:p>
    <w:p>
      <w:r>
        <w:t>Dans le cas d’espèce, l’intimé a appliqué le délai de sept ans, correspondant au délai de prescription pénale des infractions énoncées aux art. 31 LPC (manquement à l’obligation de communiquer) et 148 a (obtention illicite de prestations d’une assurance sociale ou de l’aide sociale).</w:t>
      </w:r>
    </w:p>
    <w:p>
      <w:r>
        <w:rPr>
          <w:b/>
        </w:rPr>
        <w:t>E. 11.1</w:t>
      </w:r>
    </w:p>
    <w:p>
      <w:r>
        <w:t>L’art. 148 a CP, entré en vigueur le 1 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 a ). Sous l’angle subjectif, l’art. 148 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w:t>
      </w:r>
    </w:p>
    <w:p>
      <w:r>
        <w:rPr>
          <w:b/>
        </w:rPr>
        <w:t>E. 11.2</w:t>
      </w:r>
    </w:p>
    <w:p>
      <w:r>
        <w:t>L’art. 31 LPC – qui est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(art. 31 al. 1 LPGA)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 ème phr.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 cf .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 ATAS/477/2019 du 28 mai 2019 consid. 11d).</w:t>
      </w:r>
    </w:p>
    <w:p>
      <w:r>
        <w:rPr>
          <w:b/>
        </w:rPr>
        <w:t>E. 11.3</w:t>
      </w:r>
    </w:p>
    <w:p>
      <w:r>
        <w:t>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ou la modification de la situation personnelle, médicale ou économique ; il n’est en effet plus question alors d’une escroquerie par omission, mais d’une tromperie active (ATF 140 IV 11 consid. 2.4.1 et consid. 2.4.6 in fine ; voir également l’arrêt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w:t>
      </w:r>
    </w:p>
    <w:p>
      <w:r>
        <w:rPr>
          <w:b/>
        </w:rPr>
        <w:t>E. 12.1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12.2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13.1</w:t>
      </w:r>
    </w:p>
    <w:p>
      <w:r>
        <w:t>En l’espèce, l’intimé réclame la restitution de CHF 69'056.- au titre des PC du 1 er juin 2017 au 31 mai 2024 ainsi que des réductions de primes d’assurance-maladie du 1 er janvier au 31 mai 2024 (CHF 2'759.-).</w:t>
      </w:r>
    </w:p>
    <w:p>
      <w:r>
        <w:rPr>
          <w:b/>
        </w:rPr>
        <w:t>E. 13.2</w:t>
      </w:r>
    </w:p>
    <w:p>
      <w:r>
        <w:t>Concernant tout d’abord le délai applicable en matière de révision (ci-dessus : consid. 8.2), la chambre de céans constate que c’est en recevant, le 16 avril 2024, le rapport d’expertise immobilière du 7 mars 2024 que l’intimé a pris connaissance du fait nouveau que constituait l’accroissement de la valeur du bien de l’intéressé depuis la précédente estimation, faite le 20 novembre 2013 par les autorités hongroises (HUF 51'800'000.- au lieu de HUF 19'950'000.-). En invoquant la reprise du « calcul de votre droit aux prestations complémentaires avec effet au 1 er juin 2017, en tenant compte de l’augmentation de la valeur de votre bien immobilier en Hongrie » dans son courrier du 4 juin 2024 – auquel étaient jointes les décisions du 29 mai 2024 –, l’intimé s’est prévalu d’un motif de révision en respectant le délai relatif de 90 jours dès sa découverte. Il s’ensuit a fortiori que le délai de péremption relatif de trois ans de l’art. 25 al. 2 LPGA a également été respecté.</w:t>
      </w:r>
    </w:p>
    <w:p>
      <w:r>
        <w:rPr>
          <w:b/>
        </w:rPr>
        <w:t>E. 13.3</w:t>
      </w:r>
    </w:p>
    <w:p>
      <w:r>
        <w:t>Il convient encore d’examiner si l’intimé est en droit de réclamer au recourant les prestations indûment versées pour une période supérieure à celle de cinq ans prévue à l’art. 25 al. 2, 1 ère phrase LPGA. Sur le plan objectif, les éléments constitutifs des infractions réprimées aux art. 148 a CP et 31 al. 1 let. d LPC, toutes deux soumises au délai de prescription de sept ans, sont réalisés. En effet, en ne transmettant qu’en avril 2024 un rapport d’expertise immobilière daté du 7 mars 2024, le recourant a omis d’annoncer les variations de valeur enregistrées par son bien immobilier depuis 2013. Il a ainsi passé sous silence, année après année, l’augmentation de la valeur de son appartement de Budapest, manquant ainsi à son obligation de communiquer et confortant de la sorte l’intimé dans son erreur. Ce faisant, il a adopté un comportement lui permettant d’obtenir des prestations indues. L’élément subjectif de ces infractions apparaît également réalisé. Compte tenu des indications écrites qui lui étaient fournies année après année au mois de décembre, concernant son obligation de communiquer tout changement des circonstances, le recourant, qui n’ignorait ni les variations du taux de change entre le forint hongrois et le franc suisse ( cf . son courrier du 11 novembre 2015 au SPC) ni l’obsolescence – croissante au fil du temps – du certificat administratif du 20 novembre 2013, a néanmoins exprimé tacitement, année après année, jusqu’à l’envoi du rapport d’expertise du 7 mars 2024, que sa situation, respectivement les conditions pour le versement des prestations, ne s’étaient pas modifiées. Par le silence qualifié gardé au fil des ans à ce sujet, le recourant a accepté à tout le moins l’éventualité que l’intimé lui octroie des PC auxquelles il n’avait pas droit, de sorte qu’il a contrevenu aux art. 148 a CP et 31 al. 1 let. d LPC par dol éventuel. Le délai de péremption de plus longue durée prévu par le droit pénal, soit en l’occurrence sept ans, est par conséquent applicable. C’est donc à bon droit que l’intimé a fait rétroagir ses décisions de restitution du 29 mai 2024 au 1 er juin 2017, étant relevé que les prestations les plus anciennes visées (celles du mois de juin 2017) ont été perçues sept ans avant le courrier du 4 juin 2024 auquel étaient annexées les décisions de restitution précitées.</w:t>
      </w:r>
    </w:p>
    <w:p>
      <w:r>
        <w:rPr>
          <w:b/>
        </w:rPr>
        <w:t>E. 13.4</w:t>
      </w:r>
    </w:p>
    <w:p>
      <w:r>
        <w:t>S’agissant de la somme sujette à restitution, la décision litigieuse met correctement en œuvre les principes régissant la prise en compte des revenus déterminants et des dépenses reconnues (ci-dessus : consid. 4 à 7). En particulier, les plans de calcul – réclamant la restitution de CHF 69'056.- au titre des PC pour la période du 1 er juin 2017 au 31 mai 2024 – tiennent compte, d’une part, d’une valeur locative de 4.5%, ce qui est conforme à la jurisprudence précitée (consid  4.3) et, d’autre part, d’une fortune immobilière établie de manière équitable, soit en fonction d’une augmentation linéaire de son montant en devise locale entre les deux évaluations les plus récentes (du 20 novembre 2013 et du 7 mars 2024), ajustée au taux de conversion HUF-CHF fixé par la BCE. Enfin, ces plans de calcul tiennent compte, au titre des dépenses reconnues, des frais d’entretien des bâtiments à concurrence de 20% de la valeur locative. Le recourant fait néanmoins valoir en substance qu’une valeur locative de 4.5% serait excessive au regard de la vétusté du bien qui serait illustrée par les photos figurant au rapport d’expertise immobilière du 7 mars 2024. Cet argument ne saurait être suivi, sachant qu’une valeur locative de 4.5% n’est pas excessive en tant que telle (ci-dessus : consid. 4.3) et qu’en l’espèce, son montant est corrélé à la valeur vénale – non contestée – de HUF 51'800'000.- que l’expert a retenue en se fondant, entre autres, sur l’inspection du bien qu’il a documentée en images. On rappellera par ailleurs que le fait que d’éventuels investissements soient nécessaires pour la mise en location d’un bien immobilier ne permet pas de déroger à l’art. 11 al. 1 let. b LPC (arrêt du Tribunal fédéral 9C_599/2014 du 14 janvier 2015 consid. 4.2.2).</w:t>
      </w:r>
    </w:p>
    <w:p>
      <w:r>
        <w:rPr>
          <w:b/>
        </w:rPr>
        <w:t>E. 14.1</w:t>
      </w:r>
    </w:p>
    <w:p>
      <w:r>
        <w:t>Compte tenu de ce qui précède, le recours doit être rejeté.</w:t>
      </w:r>
    </w:p>
    <w:p>
      <w:r>
        <w:rPr>
          <w:b/>
        </w:rPr>
        <w:t>E. 14.2</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