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A/2929/2007 vom 23. Oktober 2007</w:t>
      </w:r>
    </w:p>
    <w:p>
      <w:r>
        <w:t>GE Cour de justice, 2007-10-23, FR</w:t>
      </w:r>
    </w:p>
    <w:p>
      <w:r>
        <w:rPr>
          <w:b/>
        </w:rPr>
        <w:t xml:space="preserve">Quelle: </w:t>
      </w:r>
      <w:r>
        <w:t>https://mcp.opencaselaw.ch/entscheid/ge_gerichte_A_2929_2007</w:t>
      </w:r>
    </w:p>
    <w:p>
      <w:r>
        <w:t>FR: GE_GERICHTE A/2929/2007 du 23 octobre 2007</w:t>
      </w:r>
    </w:p>
    <w:p>
      <w:r>
        <w:t>IT: GE_GERICHTE A/2929/2007 del 23 ottobre 2007</w:t>
      </w:r>
    </w:p>
    <w:p>
      <w:pPr>
        <w:pStyle w:val="Heading2"/>
      </w:pPr>
      <w:r>
        <w:t>Volltext</w:t>
      </w:r>
    </w:p>
    <w:p>
      <w:r>
        <w:t>Genève Cour de justice (Cour de droit public) Chambre des assurances sociales 23.10.2007 A/2929/2007</w:t>
      </w:r>
    </w:p>
    <w:p>
      <w:r>
        <w:t>A/2929/2007 ATAS/1145/2007 du 23.10.2007 ( LAA ) , CONCILIE Par ces motifs RÉPUBLIQUE ET CANTON DE GENÈVE POUVOIR JUDICIAIRE A/2929/2007 ATAS/1145/2007 ARRET DU TRIBUNAL CANTONAL DES ASSURANCES SOCIALES Chambre 2 du 23 octobre 2007 En la cause C__________, MARTIGNY recourante contre SUVA, CAISSE NATIONALE SUISSE D'ASSURANCE EN CAS D'ACCIDENTS, sise Fluhmattstrasse 1, LUCERNE intimée Vu la décision sur opposition du 29 juin 2007 rendue dans la cause opposant C__________ à la Caisse nationale suisse d’assurance en cas d’accidents (SUVA) Lucerne concernant Madame V__________; Que par cette décision la SUVA confirmait l’absence d’une maladie professionnelle, au sens de l’art. 9 al. 1 LAA; Vu le recours formé par C__________ le 26 juillet 2007, concluant à l’annulation de la décision et à la prise en charge par la SUVA du cas; Vu la réponse et le dépôt des pièces par la SUVA le 4 septembre 2007; Vu l’audience de comparution personnelle des mandataires du 2 octobre 2007 au cours de laquelle les parties ont déclaré: « Nous prenons note des remarques du Tribunal. La SUVA admet, en particulier, qu'une instruction complémentaire devrait être effectuée. Il est par conséquent convenu qu'un délai est accordé à Me LE TENDRE pour transmettre au Tribunal des décisions d'annulation et de reprise d'instruction dans les trois causes susmentionnées ainsi que dans une quatrième cause actuellement au stade du délai de recours. L'instruction devra porter d'une part sur l'entreprise employeur (description de l'activité durant les dix dernières années, nombre d'arrêts de travail en tout et relatifs aux affections en cause) et sur le tableau clinique des assurées (présence de facteurs déclenchants : main dominante, tabagisme, prédisposition naturelle, constitution, …) » Vu l’accord intervenu entre les parties à ce sujet; Vu le délai fixé à la SUVA pour transmettre un courrier dans ce sens; Vu le courrier du 5 octobre 2007 de la SUVA, par lequel elle accepte d’annuler la décision entreprise et de reprendre l’instruction du cas; Qu’il convient d’entériner cet accord de procédure qui met fin au litige. PAR CES MOTIFS, LE TRIBUNAL CANTONAL DES ASSURANCES SOCIALES Statuant d’accord entre les parties (conformément à l’art. 56 W LOJ) Donne acte à la SUVA de l’annulation de la décision sur opposition du 29 juin 2007 rendue dans la cause opposant C__________ à la Caisse nationale suisse d’assurance en cas d’accidents (SUVA) Lucerne concernant Madame Stella V__________. Lui donne acte de son accord à reprendre l’instruction dans le sens de ce qui précède.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Florence SCHMUTZ La Présidente : Isabelle DUBOIS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