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A/2918/2014 vom 19. Februar 2015</w:t>
      </w:r>
    </w:p>
    <w:p>
      <w:r>
        <w:t>GE Cour de justice, 2015-02-19, FR</w:t>
      </w:r>
    </w:p>
    <w:p>
      <w:r>
        <w:rPr>
          <w:b/>
        </w:rPr>
        <w:t xml:space="preserve">Quelle: </w:t>
      </w:r>
      <w:r>
        <w:t>https://mcp.opencaselaw.ch/entscheid/ge_gerichte_A_2918_2014</w:t>
      </w:r>
    </w:p>
    <w:p>
      <w:r>
        <w:t>FR: GE_GERICHTE A/2918/2014 du 19 février 2015</w:t>
      </w:r>
    </w:p>
    <w:p>
      <w:r>
        <w:t>IT: GE_GERICHTE A/2918/2014 del 19 febbraio 2015</w:t>
      </w:r>
    </w:p>
    <w:p>
      <w:pPr>
        <w:pStyle w:val="Heading2"/>
      </w:pPr>
      <w:r>
        <w:t>Erwägungen</w:t>
      </w:r>
    </w:p>
    <w:p>
      <w:r>
        <w:rPr>
          <w:b/>
        </w:rPr>
        <w:t>E. 1</w:t>
      </w:r>
    </w:p>
    <w:p>
      <w:r>
        <w:t>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refus de l'OAI d'accorder une rente d'invalidité à la recourante, singulièrement sur la capacité de travail de celle-ci.</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w:t>
      </w:r>
    </w:p>
    <w:p>
      <w:r>
        <w:rPr>
          <w:b/>
        </w:rPr>
        <w:t>E. 11</w:t>
      </w:r>
    </w:p>
    <w:p>
      <w:r>
        <w:t>Etes-vous d'accord avec l'avis de la Dresse I______ du 23 juin 2014 ? En particulier avec la constatation d'une incapacité de travail totale de Mme A______ ? Si non, pour quels motifs (veuillez argumenter précisément) ?</w:t>
      </w:r>
    </w:p>
    <w:p>
      <w:r>
        <w:rPr>
          <w:b/>
        </w:rPr>
        <w:t>E. 12</w:t>
      </w:r>
    </w:p>
    <w:p>
      <w:r>
        <w:t>Des mesures de réadaptation professionnelle sont-elles envisageables ?</w:t>
      </w:r>
    </w:p>
    <w:p>
      <w:r>
        <w:rPr>
          <w:b/>
        </w:rPr>
        <w:t>E. 13</w:t>
      </w:r>
    </w:p>
    <w:p>
      <w:r>
        <w:t>Faire toutes autres observations ou suggestions utiles. II.          Ordonne une expertise neuropsychologique. La confie à Mme M______, neuropsychologue, avec la mission de :![endif]&gt;![if&gt; A. Rendre un rapport d'évaluation neuropsychologique. B. Evaluer la capacité de travail de Mme A______, du point de vue neuropsychologique. C. Transmettre le rapport aussitôt rédigé au Dr L______. III.     Réserve le sort des frais jusqu’à droit jugé au fond.![endif]&gt;![if&gt; La greffière Alicia PERRONE La Présidente Valérie MONTANI Une copie conforme du présent arrêt est notifié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