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A/2915/2024 vom 5. Mai 2025</w:t>
      </w:r>
    </w:p>
    <w:p>
      <w:r>
        <w:t>GE Cour de justice, 2025-05-05, FR</w:t>
      </w:r>
    </w:p>
    <w:p>
      <w:r>
        <w:rPr>
          <w:b/>
        </w:rPr>
        <w:t xml:space="preserve">Quelle: </w:t>
      </w:r>
      <w:r>
        <w:t>https://mcp.opencaselaw.ch/entscheid/ge_gerichte_A_2915_2024</w:t>
      </w:r>
    </w:p>
    <w:p>
      <w:r>
        <w:t>FR: GE_GERICHTE A/2915/2024 du 5 mai 2025</w:t>
      </w:r>
    </w:p>
    <w:p>
      <w:r>
        <w:t>IT: GE_GERICHTE A/2915/2024 del 5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droit du recourant à une rente d’invalidité, et plus particulièrement sur la valeur probante du rapport du Dr C______ et l’instruction menée par l’office intimé.</w:t>
      </w:r>
    </w:p>
    <w:p>
      <w:r>
        <w:rPr>
          <w:b/>
        </w:rPr>
        <w:t>E. 3.1</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le recourant a déposé sa septième demande de prestations le 14 juin 2021, de sorte que son éventuel droit à une rente naîtrait le 1 er décembre 2021 au plus tôt. Cette date étant antérieure au changement de loi, l’ancien droit reste applicable.</w:t>
      </w:r>
    </w:p>
    <w:p>
      <w:r>
        <w:rPr>
          <w:b/>
        </w:rPr>
        <w:t>E. 4.1</w:t>
      </w:r>
    </w:p>
    <w:p>
      <w:r>
        <w:t>À teneur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En vertu de l’art. 28 al. 2 LAI, l’assuré a droit à une rente entière s’il est invalide à 70% au moins, à un trois quarts de rente s'il est invalide à 60% au moins, à une demi-rente s’il est invalide à 50% au moins, ou à un quart de rente s’il est invalide à 40% au moins. Enfin,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(arrêt du Tribunal fédéral 9C_826/2009 du 20 juillet 2010 consid. 4.2 portant sur les rapports des services médicaux régionaux au sens de l'art. 49 al. 2 RAI).</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En l’espèce, sur la base des conclusions rendues le 28 mars 2024 par le Dr C______, médecin mandaté pour expertise, et de l’avis de son SMR, non daté mais vraisemblablement établi aux alentours des 7 ou 8 avril 2024, l’OAI a rejeté la demande de prestations du 14 juin 2021, retenant en substance une capacité de travail entière dans une activité adaptée aux limitations fonctionnelles énoncées. Pour sa part, le recourant conteste, à tout le moins implicitement, la valeur probante du rapport du Dr C______ du 28 mars 2024, critiquant le fait que celui-ci ait retenu une capacité de travail entière sans diminution de rendement, alors que les affections en lien avec ses genoux, ses chevilles, son dos (lombalgies) et sa fesse gauche entraînent une péjoration de sa production, y compris dans une activité sédentaire. Il explique en outre qu’en raison de son atteinte à la fesse gauche, il lui était difficile de rester assis, ce qui était peu compatible avec l’activité sédentaire retenue par l’expert. En tous les cas, pour le recourant, l’impossibilité de rester tant debout qu’assis ne permettait pas, d’emblée de retenir une capacité de travail entière sans diminution de rendement. Il était par conséquent d’avis que l’OAI avait procédé à une instruction lacunaire de son dossier sur le plan orthopédique. Il en allait de même sur le plan cognitif. En effet, ses capacités cognitives n’avaient jamais fait l’objet d’une mesure d’instruction. Or, les nombreux accidents avaient de quoi interloquer. S’y ajoutait le fait qu’il répondait souvent à côté des questions et qu’il n’était pas toujours cohérent dans ses propos, ce qui posait la question de l’existence d’une oligophrénie ou d’une affection similaire. C’est donc la valeur probante du rapport du 28 mars 2024 qu’il convient d’examiner dans un premier temps.</w:t>
      </w:r>
    </w:p>
    <w:p>
      <w:r>
        <w:rPr>
          <w:b/>
        </w:rPr>
        <w:t>E. 7.2</w:t>
      </w:r>
    </w:p>
    <w:p>
      <w:r>
        <w:t>À cet égard, force est de constater que sur le plan formel, le rapport du Dr C______ du 28 mars 2024 répond aux réquisits jurisprudentiels en matière de valeur probante. Il contient en effet le résumé du dossier, une anamnèse détaillée, les indications subjectives du recourant, des observations cliniques, ainsi qu'une discussion générale du cas. Les conclusions du Dr C______, qui résultent d'une analyse complète de la situation médicale, sont claires et motivées.</w:t>
      </w:r>
    </w:p>
    <w:p>
      <w:r>
        <w:rPr>
          <w:b/>
        </w:rPr>
        <w:t>E. 7.2.1</w:t>
      </w:r>
    </w:p>
    <w:p>
      <w:r>
        <w:t>Sur le fond, le Dr C______ a, tout d’abord, décrit les plaintes du recourant, lesquelles étaient les suivantes : -          troisième doigt de la main gauche : le recourant était gêné par la raideur du majeur de sa main gauche et par des douleurs s’il heurtait le doigt ; -          genou droit : le recourant avait un périmètre de marche, à plat, de cinq à dix minutes et des douleurs toutes les heures ou toutes les deux heures. Le genou droit était parfois tuméfié. Le recourant décrivait également des lâchages et des blocages. Enfin, il présentait des douleurs lorsqu’il marchait en terrain irrégulier ou lorsqu’il montait ou descendait des pentes ou des escaliers ; -          genou gauche : le recourant présentait des douleurs lorsqu’il descendait des escaliers ; -          fesse gauche : le recourant avait des douleurs lorsqu’il était assis ; -          cheville droite : le recourant décrivait des douleurs lorsqu’il marchait à plat pendant plus de dix minutes et lorsqu’il montait les escaliers ou des pentes ; -          cheville gauche : le recourant faisait état de douleurs persistantes, surtout lorsqu’il était en position assise ; -          colonne lombaire : le recourant décrivait des douleurs lombaires lorsqu’il marchait à plat ou lorsqu’il se penchait en avant. Après avoir procédé à un examen clinique du recourant et étudié les pièces du dossier, l’expert a retenu, en lien avec les plaintes du recourant, les diagnostics avec répercussion sur la capacité de travail de : 1.        gonarthrose bilatérale, plus marquée à droite qu’à gauche, avec : -       status après traumatisme du genou droit avec fracture ostéochondrale postérieure et postéro-latérale du plateau tibial externe avec enfoncement de 4 mm, et rupture du ligament croisé antérieur (21 juin 2010) ; -       status après arthroscopie du genou droit, avec résection du bord libre de la partie moyenne du ménisque externe, résection de plica parapatellaire interne et résection d’un lambeau de Hoffa (9 janvier 2013) ; -       status après arthroscopie du genou droit, avec résection de flaps cartilagineux instables, chondroplastie des trois compartiments, dénervation de la rotule, résection du bord libre de la partie moyenne et de la corne antérieure du ménisque externe, résection du processus fibrocicatriciel post-résection de plica parapatellaire, ablation de corps libres cartilagineux et synovectomie étendue (19 mai 2021) ; -       status après arthroscopie du genou droit, avec résection de flaps cartilagineux instables, chondroplastie tricompartimentale, reprise de dénervation de la rotule, réinsertion et suture de la corne postérieure du ménisque interne, résection de lésion du ménisque externe, résection de processus fibrocicatriciel post-résection de plica, ablation de corps libres intra-articulaires cartilagineux et synovectomie étendue (31 mai 2023) ; -       discrète chondropathie fémoro-tibiale interne et fémoro-patellaire du genou gauche (IRM du 14 septembre 2022) ; 2.        status après arthrodèse interphalangienne proximale (IPP) du majeur gauche (2007) ; 3.        douleurs persistantes à la cheville droite, avec -       status après plastie du ligament latérale externe (LLE) selon Broström, modifiée, résection d’une impingement et synovectomie (4 novembre 2015) ; 4.        douleurs persistantes à la cheville gauche, avec -       status après possible entorse bénigne du LLE (22 décembre 2020) ; 5.        status après fasciite nécrosante à la fesse gauche, traitée par débridements multiples et greffe de peau (28 juillet 2022) ; 6.        lombalgies non déficitaires -       discrètes discopathies dégénératives L2-L3, L4-L5 et L5-S1, sans hernie discale (CT lombaire du 15 mars 2018) ; Le Dr C______ a également relevé les diagnostics sans répercussion sur la capacité de travail de : 1.        obésité avec BMI à 27.0, 2.        tabagisme chronique, 3.        status après traumatisme dentaire (2010), 4.        status après fracture des os propres du nez (2010). En raison de ces atteintes, l’expert a retenu les limitations fonctionnelles suivantes : pas de position à genoux ou accroupie, pas de montée ou descente à répétition d’escaliers et d’échelles, pas de marche en terrain irrégulier, pas d’activité en position penchée en avant ou en porte-à-faux. Selon l’expert, depuis 2010, l’assuré était apte à exercer uniquement un métier parfaitement adapté aux limitations fonctionnelles. La capacité de travail dans l’activité habituelle de monteur électricien était nulle depuis le 22 décembre 2020. Cela étant, dans une activité parfaitement adaptée aux limitations fonctionnelles précitées, la capacité de travail était entière à compter du 19 mai 2021. Par ailleurs, la capacité de travail de l’assurée avait été nulle pendant deux mois dans une activité adaptée à compter du 27 juillet 2022. Il en allait de même durant un mois après l’arthroscopie du 31 mai 2023.</w:t>
      </w:r>
    </w:p>
    <w:p>
      <w:r>
        <w:rPr>
          <w:b/>
        </w:rPr>
        <w:t>E. 7.2.2</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Force est de constater, avec le recourant, que le médecin mandaté pour expertise par l’OAI n’a pas effectué d’examen clinique de la fesse gauche alors qu’il a ensuite évoqué, à titre de diagnostic avec effet sur la capacité de travail, celui de status après fasciite nécrosante à la fesse gauche, traitée par débridements multiples et greffe de peau (28 juillet 2022), tout en ne retenant finalement aucune limitation fonctionnelle, incapacité de travail ou diminution de rendement en lien avec cette atteinte. De toute évidence, il existe une contradiction s’agissant de ce diagnostic. En effet, il paraît paradoxal qu'un diagnostic soit considéré comme ayant des répercussions sur la capacité de travail alors qu'il est retenu qu'en fin de compte, il n’entraîne ni limitations fonctionnelles, ni diminution de rendement ou encore d'incapacité de travail. Dès lors qu’il est muet sur les conséquences de l’atteinte à la fesse, le rapport du Dr C______ doit être qualifié d’incomplet sur cette question. Cela étant, on doit se demander si l’expert dispose de la bonne spécialisation pour se prononcer sur les suites de la fasciite nécrosante. En effet, ce médecin est spécialisé en chirurgie orthopédique alors que le traitement de la fasciite fessière a été effectué par un spécialiste en chirurgie viscérale puis par un spécialiste en chirurgie plastique (cf. lettre de sortie des soins aigus, service de chirurgie viscérale des Hôpitaux universitaires de Genève [HUG], du 29 août 2022 et rapport initial LAA établi le 5 décembre 2022 par la docteure D______, cheffe de clinique au service de chirurgie viscérale des HUG). Ce sont d’ailleurs ces spécialistes qui ont attesté d’une incapacité de travail, à tout le moins jusqu’au 16 janvier 2023 (cf. rapport initial LAA du 5 décembre 2022 et certificat médical du 18 août 2022 ; certificat médical établi le 5 décembre 2022 par la docteure E______, médecin interne au service de chirurgie plastique). Quoi qu’il en soit, la chambre de céans ne peut, en l’état, se prononcer sur la question de la capacité de travail du recourant et, partant, sur la validité de la décision querellée de l’OAI, le rapport du Dr C______ étant muet s’agissant de la fasciite nécrosante. En effet, soit le Dr C______ disposait de la bonne spécialisation pour se prononcer sur les répercussions de la fasciite nécrosante sur la capacité de travail et, dans un tel cas, son rapport d’expertise est lacunaire en tant qu’il ne comporte aucune conclusion sur cette question, soit la fasciite nécrosante relevait d'une autre spécialité et il revenait à l'OAI d'investiguer cette atteinte et ses conséquences en termes de capacité de travail et de limitations fonctionnelles. Dans tous les cas, il convient donc de renvoyer la cause à l’OAI, celui-ci étant invité, tout d’abord, à se rapprocher des spécialistes en chirurgie viscérale et plastique ayant suivi l’assuré pour connaître l’évolution de l’atteinte à la fesse gauche ainsi que de ses conséquences sur la capacité de travail et en termes d'éventuelles limitations fonctionnelles, pour ensuite, le cas échéant, si cela devait s'imposer en fonction des réponses apportées, mener une instruction médicale complémentaire, en déterminant préalablement le spécialiste compétent pour se prononcer sur la fasciite nécrosante et ses conséquences (complément d’expertise auprès du Dr C______ ou mandat pour expertise confié à un médecin disposant de la bonne spécialisation). Ce n’est que quand l'instruction complémentaire nécessaire aura été réalisée et que l’instruction pourra être considérée comme complète que la valeur probante des différents rapports au dossier pourra être examinée.</w:t>
      </w:r>
    </w:p>
    <w:p>
      <w:r>
        <w:rPr>
          <w:b/>
        </w:rPr>
        <w:t>E. 7.3</w:t>
      </w:r>
    </w:p>
    <w:p>
      <w:r>
        <w:t>Dans son opposition au projet de décision, du 2 juillet 2024, puis dans son recours du 10 septembre 2024 et dans sa réplique du 30 octobre 2024, le recourant a également conclu à la mise en œuvre d’une expertise neuropsychologique, considérant qu’au vu de ses capacités cognitives, il n’était pas impossible qu’il souffre d’oligophrénie, ce qui pouvait entraîner des répercussions sur sa capacité de travail. La chambre de céans ne saurait toutefois suivre le recourant sur ce point. En effet, en l’absence d’avis médicaux dans ce sens, il s’agit de simples suppositions. Le fait que le recourant réponde à côté des questions et qu’il ne soit pas toujours cohérent dans ses propos n’est pas suffisant pour rendre vraisemblable une atteinte neuropsychologique, ce d’autant moins que les différents médecins ont également expliqué que les capacités du recourant dépendaient de son intérêt pour l’activité en question (cf. rapport du 1 er décembre 2021 de la phase initiale concernant le séjour du 17 au 25 novembre 2021 aux ateliers professionnels de la CRR). Il en va de même des nombreux accidents qui, en l’absence de données médicales en faveur d’une atteinte neuropsychologique, ne permettent pas de conclure que le recourant souffrirait d’une telle atteinte. Partant, en l’absence de toute pièce médicale plaidant en faveur d’une atteinte neuropsychologique, il n’y a pas lieu de mener une expertise dans ce domaine.</w:t>
      </w:r>
    </w:p>
    <w:p>
      <w:r>
        <w:rPr>
          <w:b/>
        </w:rPr>
        <w:t>E. 7.4</w:t>
      </w:r>
    </w:p>
    <w:p>
      <w:r>
        <w:t>Vu le renvoi de la cause à l’office intimé, la chambre de céans renonce à ordonner les mesures d’instruction sollicitées par le recourant, à savoir la réalisation d’une expertise pluridisciplinaire orthopédique, rhumatologique et neuropsychologique et la mise en place de mesures d’observation judiciaire.</w:t>
      </w:r>
    </w:p>
    <w:p>
      <w:r>
        <w:rPr>
          <w:b/>
        </w:rPr>
        <w:t>E. 8</w:t>
      </w:r>
    </w:p>
    <w:p>
      <w:r>
        <w:t>Enfin, le recourant considère qu’au vu des nombreuses limitations fonctionnelles et de son atteinte neuropsychologique, seule une activité dans un emploi protégé est envisageable, de sorte qu’une rente entière doit lui être versée pour ce motif déjà. Subsidiairement, il critique le calcul du degré d’invalidité effectué par l’OAI. Dès lors que la nature de l’activité adaptée et, partant, le calcul du degré d’invalidité dépendent des résultats de l’instruction complémentaire que l’OAI doit encore effectuer, l’examen des critiques en lien avec la comparaison des revenus est prématuré.</w:t>
      </w:r>
    </w:p>
    <w:p>
      <w:r>
        <w:rPr>
          <w:b/>
        </w:rPr>
        <w:t>E. 9</w:t>
      </w:r>
    </w:p>
    <w:p>
      <w:r>
        <w:t>Au vu de ce qui précède, il convient d’admettre partiellement le recours, d’annuler la décision querellée du 12 juillet 2024 et de renvoyer la cause à l’OAI pour instruction complémentaire sur cette question et nouvelle décision. Le recourant obtenant partiellement gain de cause, une indemnité de CHF 1'500.- lui sera accordée à titre de participation à ses frais et dépens (art. 61 let. g LPGA ; art. 6 du règlement sur les frais, émoluments et indemnités en matière administrative du 30 juillet 1986 – RFPA – E 5 10.03). Étant donné que la procédure n'est pas gratuite (art. 69 al. 1bis LAI) et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