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A/2910/2024 vom 14. Januar 2025</w:t>
      </w:r>
    </w:p>
    <w:p>
      <w:r>
        <w:t>GE Cour de justice, 2025-01-14, FR</w:t>
      </w:r>
    </w:p>
    <w:p>
      <w:r>
        <w:rPr>
          <w:b/>
        </w:rPr>
        <w:t xml:space="preserve">Quelle: </w:t>
      </w:r>
      <w:r>
        <w:t>https://mcp.opencaselaw.ch/entscheid/ge_gerichte_A_2910_2024</w:t>
      </w:r>
    </w:p>
    <w:p>
      <w:r>
        <w:t>FR: GE_GERICHTE A/2910/2024 du 14 janvier 2025</w:t>
      </w:r>
    </w:p>
    <w:p>
      <w:r>
        <w:t>IT: GE_GERICHTE A/2910/2024 del 14 gennaio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63 al. 1 let. b de la loi sur la procédure administrative du 12 septembre 1985 ‑ LPA ‑ E 5 10).</w:t>
      </w:r>
    </w:p>
    <w:p>
      <w:r>
        <w:rPr>
          <w:b/>
        </w:rPr>
        <w:t>E. 2</w:t>
      </w:r>
    </w:p>
    <w:p>
      <w:r>
        <w:t>Se pose la question de la qualité pour recourir.</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ATA/1078/2024 du 10 septembre 2024 consid. 2.1 et l'arrêt cité ; Stéphane GRODECKI/Romain JORDAN, Code annoté de procédure administrative genevoise, 2017, p. 184 n. 698).</w:t>
      </w:r>
    </w:p>
    <w:p>
      <w:r>
        <w:rPr>
          <w:b/>
        </w:rPr>
        <w:t>E. 2.2</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2.3</w:t>
      </w:r>
    </w:p>
    <w:p>
      <w:r>
        <w:t>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du 7 novembre 2022 consid. 1). Un intérêt purement théorique à la solution d'un problème est de même insuffisant (ATF 144 I 43 consid. 2.1).</w:t>
      </w:r>
    </w:p>
    <w:p>
      <w:r>
        <w:rPr>
          <w:b/>
        </w:rPr>
        <w:t>E. 2.4</w:t>
      </w:r>
    </w:p>
    <w:p>
      <w:r>
        <w:t>Cet intérêt doit encore être direct. Le recourant doit démontrer que sa situation factuelle ou juridique peut être avantageusement influencée par l’issue du recours. Tel n’est pas le cas de celui qui n’est atteint que de manière indirecte, médiate ou encore « par ricochet » (ATF 135 I 43 consid. 1.4 ; 133 V 239 consid. 6.2). Un intérêt seulement indirect à l’annulation ou à la modification de la décision attaquée n’est donc pas suffisant (ATF 138 V 292 consid. 4 ; arrêt du Tribunal fédéral 1B_446/2020 du 27 avril 2021 consid. 3.3).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 ATA/639/2024 du 28 mai 2024 consid. 2.3 ; François BELLANGER, La qualité de partie à la procédure administrative, in Thierry TANQUEREL/François BELLANGER, Les tiers dans la procédure administrative, 2004, p. 43 ss).</w:t>
      </w:r>
    </w:p>
    <w:p>
      <w:r>
        <w:rPr>
          <w:b/>
        </w:rPr>
        <w:t>E. 3</w:t>
      </w:r>
    </w:p>
    <w:p>
      <w:r>
        <w:t>La loi sur la navigation dans les eaux genevoises (ci-après : la loi) règle la navigation sur le lac et les cours d’eau publics du canton, ainsi que l’utilisation des installations portuaires (art. 1 LNav). L’amarrage et le dépôt de bateaux dans les eaux genevoises et sur le domaine public, le long des rives, sont subordonnés à une autorisation « à bien plaire », personnelle et intransmissible (art. 10 al. 1 LNav). Les autorisations d'amarrage ou de dépôt peuvent être retirées, notamment, en cas de retrait ou d'annulation du permis de navigation (art. 16 al. 2 let. d LNav). Les bateaux doivent être munis de permis de navigation et de signes distinctifs. Ils sont répertoriés dans un registre (art. 18 LNav).</w:t>
      </w:r>
    </w:p>
    <w:p>
      <w:r>
        <w:rPr>
          <w:b/>
        </w:rPr>
        <w:t>E. 4</w:t>
      </w:r>
    </w:p>
    <w:p>
      <w:r>
        <w:t>En l’espèce, E______ SA est au bénéfice d’une autorisation d’amarrage sur la place n° 1______ au sens de l’art. 10 al. 1 LNav pour le bateau immatriculé GE 2______ (art. 18 LNav). Elle n’est toutefois plus détentrice de ce bateau depuis le 15 novembre 2023, ce dont atteste le permis de navigation. C’est en conséquence à bon droit que le SDPLC lui a notifié une décision de retrait de son autorisation en application de l’art. 16 al. 2 let. d LNav. La société A______ SA n’est que la nouvelle détentrice du bateau et n’est, partant, à juste titre, pas destinataire de la décision querellée. Bien qu’elle trouve un intérêt à l’annulation de la décision, elle n’est atteinte que « par ricochet » (ATF 135 I 43 consid. 1.4 ; 133 V 239 consid. 6.2). Elle n’a dès lors pas qualité pour recourir. Le recours est en conséquence irrecevable.</w:t>
      </w:r>
    </w:p>
    <w:p>
      <w:r>
        <w:rPr>
          <w:b/>
        </w:rPr>
        <w:t>E. 5</w:t>
      </w:r>
    </w:p>
    <w:p>
      <w:r>
        <w:t>Vu l’issue du litige, un émolument de CHF 200.- sera mis à la charge de la recourante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