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A/2904/2007 vom 30. Oktober 2007</w:t>
      </w:r>
    </w:p>
    <w:p>
      <w:r>
        <w:t>GE Cour de justice, 2007-10-30, FR</w:t>
      </w:r>
    </w:p>
    <w:p>
      <w:r>
        <w:rPr>
          <w:b/>
        </w:rPr>
        <w:t xml:space="preserve">Quelle: </w:t>
      </w:r>
      <w:r>
        <w:t>https://mcp.opencaselaw.ch/entscheid/ge_gerichte_A_2904_2007</w:t>
      </w:r>
    </w:p>
    <w:p>
      <w:r>
        <w:t>FR: GE_GERICHTE A/2904/2007 du 30 octobre 2007</w:t>
      </w:r>
    </w:p>
    <w:p>
      <w:r>
        <w:t>IT: GE_GERICHTE A/2904/2007 del 30 ottobre 2007</w:t>
      </w:r>
    </w:p>
    <w:p>
      <w:pPr>
        <w:pStyle w:val="Heading2"/>
      </w:pPr>
      <w:r>
        <w:t>Erwägungen</w:t>
      </w:r>
    </w:p>
    <w:p>
      <w:r>
        <w:rPr>
          <w:b/>
        </w:rPr>
        <w:t>E. 6</w:t>
      </w:r>
    </w:p>
    <w:p>
      <w:r>
        <w:t>M. D________ a saisi le Tribunal administratif d’un recours le 26 juillet 2007 en reprenant les arguments qu’il avait fait valoir par-devant le SAN, notamment en ce qui concernait ses besoins professionnels. La perte de maîtrise n’était pas due à une imprudence de sa part et ne devait dès lors pas être qualifiée de grave au sens de l’article 16c LCR. Il avait certes commis une faute, mais elle était légère, de sorte que seul un avertissement devait être prononcé.</w:t>
      </w:r>
    </w:p>
    <w:p>
      <w:r>
        <w:rPr>
          <w:b/>
        </w:rPr>
        <w:t>E. 7</w:t>
      </w:r>
    </w:p>
    <w:p>
      <w:r>
        <w:t>Le 17 septembre 2007, les parties ont été entendues en comparution personnelle. a. M. D________ a exposé qu’il était maçon, marié et père de deux enfants. Son épouse n’exerçait pas d’activité professionnelle. Il avait des besoins professionnels importants, car il devait se déplacer plusieurs fois par jour sur les chantiers avec la voiture de l’entreprise. Sans permis, il risquait de perdre son emploi. Il a précisé les circonstances de l’accident, à savoir que lorsqu’il était arrivé à la hauteur du premier virage de la route de Vessy, les premières gouttes de pluie étaient tombées. Alors qu’il négociait le deuxième virage, un violent orage avait éclaté. Il roulait à environ 60/70 km/h. Sa voiture avait dérapé et il avait tenté de la contrôler, mais sans succès. Il avait payé l’amende qui lui avait été infligée à raison de ces faits, après que son montant eut été réduit par le service des contraventions. Il a encore indiqué qu’il ne connaissait pas les lieux. b. Le SAN a persisté dans les termes de sa décision, la faute commise étant grave. M. D________ n’avait certes pas dépassé la vitesse autorisée, mais son allure était inadaptée aux conditions de la circulation pendant l’orage. c. Les parties ont été informées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a. Aux termes de l’article 31 alinéa 1 LCR, le conducteur doit rester constamment maître de son véhicule de façon à pouvoir se conformer aux devoirs de la prudence. Selon la jurisprudence du Tribunal fédéral, ce devoir de maîtrise du véhicule consiste notamment à être à tout instant en mesure d’agir de la façon adéquate sur le véhicule conduit (ATF 127 II 302 consid. 3c p. 303). Lorsque la perte de maîtrise du véhicule est due uniquement à de mauvaises conditions de la route et que le comportement du conducteur a été correct, il y a lieu de ne retenir qu’un cas de peu de gravité (eodem loco consid. 3d p. 304). b. Le recourant n’a pas conduit son véhicule à une vitesse adaptée aux circonstances selon l’article 32 LCR, soit en tenant compte des conditions de la route, de la circulation et de la visibilité. A cet égard, le Tribunal administratif relèvera que les orages estivaux éclatent souvent très vite, mais qu’ils sont précédés de signes avant-coureurs desquels le conducteur devrait profiter pour adapter sa vitesse. Le recourant indique lui-même que les premières gouttes de pluie sont tombées alors qu’il négociait le premier virage et que sa vitesse était d’environ 60 à 70 km/h lors de l’accident. Le fait que le service des contraventions a réduit l’amende infligée au recourant, ne saurait amener le Tribunal administratif à retenir une infraction légère au sens de l’article 16a LCR. Partant, la décision prise par le SAN aux termes de laquelle le permis du recourant lui est retiré pour une durée de trois mois, soit le minimum légal de l’article 16c LCR est exempte de toute critique et sera confirmée. 3. Mal fondé, le recours doit être rejeté. Vu l’issue du litige,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