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A/28/2006 vom 19. Mai 2004</w:t>
      </w:r>
    </w:p>
    <w:p>
      <w:r>
        <w:t>GE Cour de justice, 2004-05-19, FR</w:t>
      </w:r>
    </w:p>
    <w:p>
      <w:r>
        <w:rPr>
          <w:b/>
        </w:rPr>
        <w:t xml:space="preserve">Quelle: </w:t>
      </w:r>
      <w:r>
        <w:t>https://mcp.opencaselaw.ch/entscheid/ge_gerichte_A_28_2006</w:t>
      </w:r>
    </w:p>
    <w:p>
      <w:r>
        <w:t>FR: GE_GERICHTE A/28/2006 du 19 mai 2004</w:t>
      </w:r>
    </w:p>
    <w:p>
      <w:r>
        <w:t>IT: GE_GERICHTE A/28/2006 del 19 maggio 2004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w:t>
      </w:r>
    </w:p>
    <w:p>
      <w:r>
        <w:rPr>
          <w:b/>
        </w:rPr>
        <w:t>E. 3</w:t>
      </w:r>
    </w:p>
    <w:p>
      <w:r>
        <w:t>Le juge du divorce a relevé que la demanderesse ne travaillait pas et n'apparaissait pas avoir accumulé d'avoirs de prévoyance professionnelle durant le mariage. Il a dès lors ordonné le partage par moitié des avoirs du demandeur en faveur de la demanderesse. Les dates pertinentes sont, d’une part, celle du mariage le 21 décembre 1999, d’autre part le 26 juin 2004, date à laquelle le jugement de divorce est devenu exécutoire. Peu importe à cet égard que les demandeurs se soient remariés le 20 décembre 2005.</w:t>
      </w:r>
    </w:p>
    <w:p>
      <w:r>
        <w:rPr>
          <w:b/>
        </w:rPr>
        <w:t>E. 4</w:t>
      </w:r>
    </w:p>
    <w:p>
      <w:r>
        <w:t>Aucun émolument ne sera perçu, la procédure étant gratuite (art. 73 al. 2 LPP et 89H al. 1 de la loi sur la procédure administrative du 12 septembre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