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A/28/2004 vom 5. April 2006</w:t>
      </w:r>
    </w:p>
    <w:p>
      <w:r>
        <w:t>GE Cour de justice, 2006-04-05, FR</w:t>
      </w:r>
    </w:p>
    <w:p>
      <w:r>
        <w:rPr>
          <w:b/>
        </w:rPr>
        <w:t xml:space="preserve">Quelle: </w:t>
      </w:r>
      <w:r>
        <w:t>https://mcp.opencaselaw.ch/entscheid/ge_gerichte_A_28_2004</w:t>
      </w:r>
    </w:p>
    <w:p>
      <w:r>
        <w:t>FR: GE_GERICHTE A/28/2004 du 5 avril 2006</w:t>
      </w:r>
    </w:p>
    <w:p>
      <w:r>
        <w:t>IT: GE_GERICHTE A/28/2004 del 5 aprile 2006</w:t>
      </w:r>
    </w:p>
    <w:p>
      <w:pPr>
        <w:pStyle w:val="Heading2"/>
      </w:pPr>
      <w:r>
        <w:t>Erwägungen</w:t>
      </w:r>
    </w:p>
    <w:p>
      <w:r>
        <w:rPr>
          <w:b/>
        </w:rPr>
        <w:t>E. 5</w:t>
      </w:r>
    </w:p>
    <w:p>
      <w:r>
        <w:t>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et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(ci-après LPGA) qui sont relatives à la loi fédérale sur l'assurance-invalidité (ci-après OCAI) du 15 juin 1959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formes et délai légaux, le recours est recevable à la forme (art. 60 LPGA). In casu, le recours porte sur le droit éventuel de l’assurée à une rente d’invalidité et, cas échéant, sur la méthode d’évaluation de cette invalidité. Selon l’art. 28 al. 1 LAI,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L’invalidité au sens de cette disposition est la diminution de la capacité de gain, présumée permanente ou de longue durée, qui résulte d’une atteinte à la santé physique ou mentale provenant d’une infirmité congénitale, d’une maladie ou d’un accident (art. 4 al. 1 LAI). Pour l’évaluation de l’invalidité, le revenu du travail que l’invalide pourrait obtenir en exerçant l’activité que l’on peut raisonnablement attendre de lui, après exécution éventuelle de mesures de réadaptation et compte tenu d’une situation équilibrée du marché du travail (revenu d’invalide), est comparée au revenu qu’il pourrait obtenir s’il n’était pas invalide (revenu sans invalidité ; art. 28 al. 2 LAI). Le Conseil fédéral édictera des prescriptions complémentaires sur l’évaluation de l’invalidité, notamment pour les assurés qui n’avaient pas d’activité avant d’être invalide (art. 28 al. 3 LAI). Se fondant sur cette disposition légale, le Conseil fédéral a édicté les art. 27 et 27bis RAI. Selon l’art. 27 RAI, pour évaluer l’invalidité d’un assuré n’exerçant pas d’activité lucrative au sens de l’art. 5 al. 1 LAI, on effectue une comparaison des activités et on cherche à établir dans quelle mesure l’intéressé est empêché d’accomplir ses travaux habituels (méthode spécifique ; al. 1). Par travaux habituels des assurés travaillant dans le ménage, on entend l’activité usuelle dans le ménage et l’éducation des enfants (al. 2). En vertu de l’art. 27bis al. 1 RAI, l’invalidité des assurés qui n’exercent que partiellement une activité lucrative est, pour cette part, évaluée selon l’art. 28 al. 2 LAI. S’ils se consacrent en outre à leurs travaux habituels au sens de l’art. 5 al. 1 LAI, l’invalidité est fixée selon l’art. 27 RAI pour cette activité. Dans ce cas, il faudra déterminer la part respective de l’activité lucrative et celle de l’accomplissement des autres travaux habituels et calculer le degré d’invalidité d’après le handicap dont l’assuré est affecté dans les deux activités en question (méthode mixte d’évaluation de l’invalidité). Pour savoir si un assuré doit être considéré comme une personne exerçant une activité à plein temps ou à temps partiel, il convient d’examiner ce que ferait l’assuré dans les mêmes circonstances s’il n’était pas atteint dans sa santé.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d’une vraisemblance prépondérante (ATF 125 V 150 consid. 2c ; 117 V 194 ss consid. 3b et références citées). En l’espèce, la recourante explique que, depuis sa première demande de prestations auprès de l’assurance-invalidité, son état de santé s’est péjoré, raison pour laquelle elle conclut au versement d’une rente d’invalidité. Elle estime par ailleurs que cette rente doit être calculée selon la méthode mixte. La question du choix de la méthode d'évaluation d'invalidité (méthode générale des revenus ou méthode mixte) peut cependant rester ouverte dès lors que quel que soit le mode de calcul utilisé, la recourante n'a pas droit à une rente d'invalidité 9a Application de la méthode générale de comparaison des revenus . S’agissant de la prétendue diminution de la capacité de travail et de gain de la recourante, il convient en premier lieu de relever que cette dernière a bénéficié de mesures de réadaptation de l’assurance-invalidité de 1993 à 1996. La recourante a en effet, conformément à ses souhaits, obtenu la prise en charge des frais de formation visant à obtenir un diplôme d’agente de voyages, profession qui était compatible avec son atteinte à la santé. Elle a également eu l’occasion d’effectuer des stages pratiques dans des agences de voyages. La recourante n’a cependant jamais travaillé dans ce domaine, ayant échoué aux examens finaux et n’ayant pas souhaité persévérer dans cette voie, voulant travailler désormais dans le domaine social. Le fait que la profession d’aide hospitalière, exercée par l’assurée lorsqu’elle a déposé sa seconde demande de prestations AI, ne soit nullement adaptée à son état de santé et ne lui permette pas de travailler à 100 %, n’est pas contesté. Le médecin traitant de la recourante, le Dr B__________, a d’ailleurs estimé la capacité de travail de sa patiente à 50 % dans cette profession. La recourante ayant bénéficié de mesures de réadaptation, il s’agit plutôt de déterminer sa capacité de travail dans la profession d’agente de voyages. A ce propos, le Dr Claude B__________ a affirmé, dans un courrier reçu le 17 octobre 2002 par l’Office AI Berne, que sa patiente pourrait travailler en position assise à condition que sa jambe soit surélevée. Or, ces limitations sont tout à fait compatibles avec la profession d’agente de voyages. La recourante peut donc exercer cette profession à 100 % et préserver ainsi sa capacité de gain. 9b. Application de la méthode mixte, soit une activité professionnelle à 70% et ménagère à 30% . Conformément à ce qui a été dit (consid. 9a) la recourante doit être reconnue capable de travailler dans l'activité d'agente de voyages à 70%. Elle estime que son incapacité dans les tâches ménagères est de 50%. Or même l'on admettait une telle incapacité à effectuer les tâches ménagères (à 30%), le degré de 15% (soit 50% x 15%) d'invalidité auquel on aboutit est insuffisant pour ouvrir le droit à de prestation d'invalidité. 9c. C’est dès lors à raison que l’OCAI a rejeté la demande de prestations de la recourante. On ne saurait octroyer une rente à une assurée réadaptée qui refuse, pour des motifs d’ordre personnel, d’exercer une profession adaptée à son état de santé, qu’elle a de surcroît elle-même choisie.</w:t>
      </w:r>
    </w:p>
    <w:p>
      <w:r>
        <w:rPr>
          <w:b/>
        </w:rPr>
        <w:t>E. 10</w:t>
      </w:r>
    </w:p>
    <w:p>
      <w:r>
        <w:t>Au vu de ce qui précède, le recours sera rejeté et la décision litigieuse confirmée, sans qu’il ait été nécessaire d’examiner la méthode d’évaluation de l’invalidité applicable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